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84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14"/>
      </w:tblGrid>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EB6D7D">
            <w:pPr>
              <w:pStyle w:val="Sinespaciado"/>
            </w:pPr>
            <w:r w:rsidRPr="0001150E">
              <w:t>NÚMERO DEL PROCESO (radicación 23 dígitos + n.° expediente):</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196C76" w:rsidP="00F5018C">
            <w:pPr>
              <w:tabs>
                <w:tab w:val="left" w:pos="2490"/>
              </w:tabs>
              <w:rPr>
                <w:rFonts w:asciiTheme="majorHAnsi" w:hAnsiTheme="majorHAnsi" w:cs="Arial"/>
              </w:rPr>
            </w:pPr>
            <w:r>
              <w:rPr>
                <w:sz w:val="28"/>
                <w:szCs w:val="28"/>
              </w:rPr>
              <w:t>T-597474.</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rPr>
            </w:pPr>
            <w:r w:rsidRPr="0001150E">
              <w:rPr>
                <w:rFonts w:asciiTheme="majorHAnsi" w:hAnsiTheme="majorHAnsi" w:cs="Arial"/>
                <w:b/>
              </w:rPr>
              <w:t xml:space="preserve">TIPO DE PROCESO </w:t>
            </w:r>
            <w:r w:rsidRPr="0001150E">
              <w:rPr>
                <w:rFonts w:asciiTheme="majorHAnsi" w:hAnsiTheme="majorHAnsi" w:cs="Arial"/>
                <w:b/>
                <w:sz w:val="20"/>
              </w:rPr>
              <w:t>(tipo de acción):</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196C76" w:rsidP="00F5018C">
            <w:pPr>
              <w:rPr>
                <w:rFonts w:asciiTheme="majorHAnsi" w:hAnsiTheme="majorHAnsi" w:cs="Arial"/>
              </w:rPr>
            </w:pPr>
            <w:r>
              <w:rPr>
                <w:rFonts w:asciiTheme="majorHAnsi" w:hAnsiTheme="majorHAnsi" w:cs="Arial"/>
              </w:rPr>
              <w:t>ACCIÓN DE TUTELA.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TIPO DE PROVIDENCIA </w:t>
            </w:r>
            <w:r w:rsidRPr="0001150E">
              <w:rPr>
                <w:rFonts w:asciiTheme="majorHAnsi" w:hAnsiTheme="majorHAnsi" w:cs="Arial"/>
                <w:b/>
                <w:sz w:val="20"/>
              </w:rPr>
              <w:t>(sentencia de unificación, sentencia, auto de unificación, auto)</w:t>
            </w:r>
            <w:r w:rsidRPr="0001150E">
              <w:rPr>
                <w:rFonts w:asciiTheme="majorHAnsi" w:hAnsiTheme="majorHAnsi" w:cs="Arial"/>
                <w:b/>
              </w:rPr>
              <w:t xml:space="preserve">: </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196C76" w:rsidP="00F5018C">
            <w:pPr>
              <w:rPr>
                <w:rFonts w:asciiTheme="majorHAnsi" w:hAnsiTheme="majorHAnsi" w:cs="Arial"/>
              </w:rPr>
            </w:pPr>
            <w:r>
              <w:rPr>
                <w:rFonts w:asciiTheme="majorHAnsi" w:hAnsiTheme="majorHAnsi" w:cs="Arial"/>
              </w:rPr>
              <w:t>SENTENCIA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NÚMERO DE LA SENTENCIA </w:t>
            </w:r>
            <w:r w:rsidRPr="0001150E">
              <w:rPr>
                <w:rFonts w:asciiTheme="majorHAnsi" w:hAnsiTheme="majorHAnsi" w:cs="Arial"/>
                <w:b/>
                <w:sz w:val="20"/>
                <w:szCs w:val="20"/>
              </w:rPr>
              <w:t>(si aplica</w:t>
            </w:r>
            <w:r w:rsidRPr="0001150E">
              <w:rPr>
                <w:rFonts w:asciiTheme="majorHAnsi" w:hAnsiTheme="majorHAnsi" w:cs="Arial"/>
                <w:b/>
                <w:sz w:val="20"/>
              </w:rPr>
              <w:t>):</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196C76" w:rsidP="00F5018C">
            <w:pPr>
              <w:rPr>
                <w:rFonts w:asciiTheme="majorHAnsi" w:hAnsiTheme="majorHAnsi" w:cs="Arial"/>
              </w:rPr>
            </w:pPr>
            <w:r>
              <w:rPr>
                <w:rFonts w:asciiTheme="majorHAnsi" w:hAnsiTheme="majorHAnsi" w:cs="Arial"/>
              </w:rPr>
              <w:t>T-743-2002.</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FECHA DE LA PROVIDENCIA </w:t>
            </w:r>
            <w:r w:rsidRPr="0001150E">
              <w:rPr>
                <w:rFonts w:asciiTheme="majorHAnsi" w:hAnsiTheme="majorHAnsi" w:cs="Arial"/>
                <w:b/>
                <w:sz w:val="20"/>
                <w:szCs w:val="20"/>
              </w:rPr>
              <w:t>(año/mes/día):</w:t>
            </w:r>
            <w:r w:rsidRPr="0001150E">
              <w:rPr>
                <w:rFonts w:asciiTheme="majorHAnsi" w:hAnsiTheme="majorHAnsi" w:cs="Arial"/>
                <w:b/>
              </w:rPr>
              <w:t xml:space="preserve"> </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196C76" w:rsidP="00F5018C">
            <w:pPr>
              <w:rPr>
                <w:rFonts w:asciiTheme="majorHAnsi" w:hAnsiTheme="majorHAnsi" w:cs="Arial"/>
              </w:rPr>
            </w:pPr>
            <w:r>
              <w:rPr>
                <w:rFonts w:asciiTheme="majorHAnsi" w:hAnsiTheme="majorHAnsi" w:cs="Arial"/>
              </w:rPr>
              <w:t>2002/09/12.</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DESPACHO </w:t>
            </w:r>
            <w:r w:rsidRPr="0001150E">
              <w:rPr>
                <w:rFonts w:asciiTheme="majorHAnsi" w:hAnsiTheme="majorHAnsi" w:cs="Arial"/>
                <w:b/>
                <w:sz w:val="20"/>
                <w:szCs w:val="20"/>
              </w:rPr>
              <w:t>(corporación/sección/subsección/sala plena/sala de decisión):</w:t>
            </w:r>
            <w:r w:rsidRPr="0001150E">
              <w:rPr>
                <w:rFonts w:asciiTheme="majorHAnsi" w:hAnsiTheme="majorHAnsi" w:cs="Arial"/>
              </w:rPr>
              <w:t xml:space="preserve"> </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auto"/>
          </w:tcPr>
          <w:p w:rsidR="00471B94" w:rsidRPr="0001150E" w:rsidRDefault="00471B94" w:rsidP="00471B94">
            <w:pPr>
              <w:tabs>
                <w:tab w:val="left" w:pos="6750"/>
              </w:tabs>
              <w:rPr>
                <w:rFonts w:asciiTheme="majorHAnsi" w:hAnsiTheme="majorHAnsi" w:cs="Arial"/>
              </w:rPr>
            </w:pPr>
            <w:r>
              <w:rPr>
                <w:rFonts w:asciiTheme="majorHAnsi" w:hAnsiTheme="majorHAnsi" w:cs="Arial"/>
              </w:rPr>
              <w:t>CORTE CONSTITUCIONAL/</w:t>
            </w:r>
            <w:r w:rsidR="00196C76">
              <w:rPr>
                <w:rFonts w:asciiTheme="majorHAnsi" w:hAnsiTheme="majorHAnsi" w:cs="Arial"/>
              </w:rPr>
              <w:t>SALA NOVENA DE REVISIÓN.</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MAGISTRADO PONENTE: </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auto"/>
          </w:tcPr>
          <w:p w:rsidR="00471B94" w:rsidRPr="0001150E" w:rsidRDefault="00196C76" w:rsidP="00F5018C">
            <w:pPr>
              <w:rPr>
                <w:rFonts w:asciiTheme="majorHAnsi" w:hAnsiTheme="majorHAnsi" w:cs="Arial"/>
              </w:rPr>
            </w:pPr>
            <w:r>
              <w:rPr>
                <w:rFonts w:asciiTheme="majorHAnsi" w:hAnsiTheme="majorHAnsi" w:cs="Arial"/>
              </w:rPr>
              <w:t>CLARA INÉS VARGAS HERNÁNDEZ.</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ACTOR: </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196C76" w:rsidP="00F5018C">
            <w:pPr>
              <w:rPr>
                <w:rFonts w:asciiTheme="majorHAnsi" w:hAnsiTheme="majorHAnsi" w:cs="Arial"/>
              </w:rPr>
            </w:pPr>
            <w:r>
              <w:rPr>
                <w:rFonts w:asciiTheme="majorHAnsi" w:hAnsiTheme="majorHAnsi" w:cs="Arial"/>
              </w:rPr>
              <w:t>OLINTO GONZÁLEZ RIVERA.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DEMANDADO: </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196C76" w:rsidP="00F5018C">
            <w:pPr>
              <w:tabs>
                <w:tab w:val="left" w:pos="2839"/>
              </w:tabs>
              <w:rPr>
                <w:rFonts w:asciiTheme="majorHAnsi" w:hAnsiTheme="majorHAnsi" w:cs="Arial"/>
              </w:rPr>
            </w:pPr>
            <w:r>
              <w:rPr>
                <w:rFonts w:asciiTheme="majorHAnsi" w:hAnsiTheme="majorHAnsi" w:cs="Arial"/>
              </w:rPr>
              <w:t>GERENTE Y JEFE DEL DEPARTAMENTO ADMINISTRATIVO Y FINANCIERO DE LA EMPRESA DE ACUEDUCTO Y SANEAMIENTO BÁSICO DE BARRANCABERMEJA “EDASABA E.S.P.”</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highlight w:val="yellow"/>
              </w:rPr>
            </w:pPr>
            <w:r w:rsidRPr="0001150E">
              <w:rPr>
                <w:rFonts w:asciiTheme="majorHAnsi" w:hAnsiTheme="majorHAnsi" w:cs="Arial"/>
                <w:b/>
              </w:rPr>
              <w:t>SENTIDO DEL FALLO :</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auto"/>
          </w:tcPr>
          <w:p w:rsidR="00471B94" w:rsidRPr="0001150E" w:rsidRDefault="00471B94" w:rsidP="00F5018C">
            <w:pPr>
              <w:rPr>
                <w:rFonts w:asciiTheme="majorHAnsi" w:hAnsiTheme="majorHAnsi" w:cs="Arial"/>
              </w:rPr>
            </w:pPr>
            <w:r>
              <w:rPr>
                <w:rFonts w:asciiTheme="majorHAnsi" w:hAnsiTheme="majorHAnsi" w:cs="Arial"/>
              </w:rPr>
              <w:t>FAVORABLE.</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HECHOS RELEVANTES </w:t>
            </w:r>
            <w:r w:rsidRPr="0001150E">
              <w:rPr>
                <w:rFonts w:asciiTheme="majorHAnsi" w:hAnsiTheme="majorHAnsi" w:cs="Arial"/>
                <w:b/>
                <w:sz w:val="20"/>
                <w:szCs w:val="20"/>
              </w:rPr>
              <w:t xml:space="preserve">(los hechos que resultaron probados, no los narrados en la demanda, limitados al problema jurídico concreto que orienta la ficha): </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237AE8" w:rsidRDefault="00237AE8" w:rsidP="00471B94">
            <w:pPr>
              <w:jc w:val="both"/>
              <w:rPr>
                <w:rFonts w:asciiTheme="majorHAnsi" w:hAnsiTheme="majorHAnsi" w:cs="Arial"/>
              </w:rPr>
            </w:pPr>
          </w:p>
          <w:p w:rsidR="00471B94" w:rsidRDefault="00196C76" w:rsidP="00471B94">
            <w:pPr>
              <w:jc w:val="both"/>
              <w:rPr>
                <w:rFonts w:asciiTheme="majorHAnsi" w:hAnsiTheme="majorHAnsi" w:cs="Arial"/>
              </w:rPr>
            </w:pPr>
            <w:r>
              <w:rPr>
                <w:rFonts w:asciiTheme="majorHAnsi" w:hAnsiTheme="majorHAnsi" w:cs="Arial"/>
              </w:rPr>
              <w:t xml:space="preserve">La empresa EDASABA declaró disciplinariamente responsable </w:t>
            </w:r>
            <w:r w:rsidR="00237AE8">
              <w:rPr>
                <w:rFonts w:asciiTheme="majorHAnsi" w:hAnsiTheme="majorHAnsi" w:cs="Arial"/>
              </w:rPr>
              <w:t>al</w:t>
            </w:r>
            <w:r>
              <w:rPr>
                <w:rFonts w:asciiTheme="majorHAnsi" w:hAnsiTheme="majorHAnsi" w:cs="Arial"/>
              </w:rPr>
              <w:t xml:space="preserve"> </w:t>
            </w:r>
            <w:r w:rsidR="00237AE8">
              <w:rPr>
                <w:rFonts w:asciiTheme="majorHAnsi" w:hAnsiTheme="majorHAnsi" w:cs="Arial"/>
              </w:rPr>
              <w:t>trabajador Olinto González Rivera, imponiéndole como sanción la suspensión del cargo por veinte (20) días sin remuneración.</w:t>
            </w:r>
          </w:p>
          <w:p w:rsidR="00196C76" w:rsidRDefault="00196C76" w:rsidP="00471B94">
            <w:pPr>
              <w:jc w:val="both"/>
              <w:rPr>
                <w:rFonts w:asciiTheme="majorHAnsi" w:hAnsiTheme="majorHAnsi" w:cs="Arial"/>
              </w:rPr>
            </w:pPr>
          </w:p>
          <w:p w:rsidR="00196C76" w:rsidRPr="0001150E" w:rsidRDefault="00237AE8" w:rsidP="00471B94">
            <w:pPr>
              <w:jc w:val="both"/>
              <w:rPr>
                <w:rFonts w:asciiTheme="majorHAnsi" w:hAnsiTheme="majorHAnsi" w:cs="Arial"/>
              </w:rPr>
            </w:pPr>
            <w:r>
              <w:t xml:space="preserve">El accionante alega </w:t>
            </w:r>
            <w:r w:rsidR="00196C76">
              <w:t>vulnerados sus derechos fundamentales al debido proceso, a la libertad de opinión y al trabajo</w:t>
            </w:r>
            <w:r>
              <w:t>.</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PROBLEMA JURÍDICO DEL CASO CONCRETO </w:t>
            </w:r>
            <w:r w:rsidRPr="0001150E">
              <w:rPr>
                <w:rFonts w:asciiTheme="majorHAnsi" w:hAnsiTheme="majorHAnsi" w:cs="Arial"/>
                <w:b/>
                <w:sz w:val="20"/>
                <w:szCs w:val="20"/>
              </w:rPr>
              <w:t>(en concordancia con los hechos relevantes):</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471B94" w:rsidP="00616EA5">
            <w:pPr>
              <w:jc w:val="both"/>
              <w:rPr>
                <w:rFonts w:asciiTheme="majorHAnsi" w:hAnsiTheme="majorHAnsi" w:cs="Arial"/>
              </w:rPr>
            </w:pPr>
            <w:r w:rsidRPr="0001150E">
              <w:rPr>
                <w:rFonts w:asciiTheme="majorHAnsi" w:hAnsiTheme="majorHAnsi"/>
              </w:rPr>
              <w:t xml:space="preserve"> </w:t>
            </w:r>
            <w:r w:rsidR="00237AE8">
              <w:rPr>
                <w:rFonts w:asciiTheme="majorHAnsi" w:hAnsiTheme="majorHAnsi"/>
              </w:rPr>
              <w:t xml:space="preserve">¿Es procedente la acción de tutela para </w:t>
            </w:r>
            <w:r w:rsidR="00616EA5">
              <w:rPr>
                <w:rFonts w:asciiTheme="majorHAnsi" w:hAnsiTheme="majorHAnsi"/>
              </w:rPr>
              <w:t xml:space="preserve">declarar </w:t>
            </w:r>
            <w:r w:rsidR="00237AE8">
              <w:rPr>
                <w:rFonts w:asciiTheme="majorHAnsi" w:hAnsiTheme="majorHAnsi"/>
              </w:rPr>
              <w:t xml:space="preserve">la suspensión o anulación de los efectos de una sanción </w:t>
            </w:r>
            <w:r w:rsidR="00616EA5">
              <w:rPr>
                <w:rFonts w:asciiTheme="majorHAnsi" w:hAnsiTheme="majorHAnsi"/>
              </w:rPr>
              <w:t>de suspensión del cargo que se impuso contra un empleado por parte de la empresa EDASABA?</w:t>
            </w:r>
            <w:r w:rsidR="00237AE8">
              <w:rPr>
                <w:rFonts w:asciiTheme="majorHAnsi" w:hAnsiTheme="majorHAnsi"/>
              </w:rPr>
              <w:t xml:space="preserve"> </w:t>
            </w:r>
          </w:p>
        </w:tc>
      </w:tr>
      <w:tr w:rsidR="00471B94" w:rsidRPr="0001150E" w:rsidTr="00F5018C">
        <w:trPr>
          <w:trHeight w:val="344"/>
        </w:trPr>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ACTO DEMANDADO </w:t>
            </w:r>
            <w:r w:rsidRPr="0001150E">
              <w:rPr>
                <w:rFonts w:asciiTheme="majorHAnsi" w:hAnsiTheme="majorHAnsi" w:cs="Arial"/>
                <w:b/>
                <w:sz w:val="20"/>
                <w:szCs w:val="20"/>
              </w:rPr>
              <w:t>(si aplica, por ejemplo si se pide la nulidad de un acto administrativo):</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471B94" w:rsidP="00F5018C">
            <w:pPr>
              <w:rPr>
                <w:rFonts w:asciiTheme="majorHAnsi" w:hAnsiTheme="majorHAnsi" w:cs="Arial"/>
              </w:rPr>
            </w:pPr>
            <w:r w:rsidRPr="0001150E">
              <w:rPr>
                <w:rFonts w:asciiTheme="majorHAnsi" w:hAnsiTheme="majorHAnsi" w:cs="Arial"/>
              </w:rPr>
              <w:t>N/A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FUNDAMENTO LEGAL DE LA DEMANDA </w:t>
            </w:r>
            <w:r w:rsidRPr="0001150E">
              <w:rPr>
                <w:rFonts w:asciiTheme="majorHAnsi" w:hAnsiTheme="majorHAnsi" w:cs="Arial"/>
                <w:b/>
                <w:sz w:val="20"/>
                <w:szCs w:val="20"/>
              </w:rPr>
              <w:t>(si aplica y en relación con el problema jurídico concreto que orienta la ficha):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471B94" w:rsidP="00F5018C">
            <w:pPr>
              <w:rPr>
                <w:rFonts w:asciiTheme="majorHAnsi" w:hAnsiTheme="majorHAnsi" w:cs="Arial"/>
              </w:rPr>
            </w:pPr>
            <w:r w:rsidRPr="0001150E">
              <w:rPr>
                <w:rFonts w:asciiTheme="majorHAnsi" w:hAnsiTheme="majorHAnsi" w:cs="Arial"/>
              </w:rPr>
              <w:t>N/A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FUNDAMENTO LEGAL DE LA DEFENSA </w:t>
            </w:r>
            <w:r w:rsidRPr="0001150E">
              <w:rPr>
                <w:rFonts w:asciiTheme="majorHAnsi" w:hAnsiTheme="majorHAnsi" w:cs="Arial"/>
                <w:b/>
                <w:sz w:val="20"/>
                <w:szCs w:val="20"/>
              </w:rPr>
              <w:t>(si aplica y en relación con el problema jurídico concreto que orienta la ficha):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471B94" w:rsidP="00F5018C">
            <w:pPr>
              <w:rPr>
                <w:rFonts w:asciiTheme="majorHAnsi" w:hAnsiTheme="majorHAnsi" w:cs="Arial"/>
              </w:rPr>
            </w:pPr>
            <w:r w:rsidRPr="0001150E">
              <w:rPr>
                <w:rFonts w:asciiTheme="majorHAnsi" w:hAnsiTheme="majorHAnsi" w:cs="Arial"/>
              </w:rPr>
              <w:t>N/A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rPr>
            </w:pPr>
            <w:r w:rsidRPr="0001150E">
              <w:rPr>
                <w:rFonts w:asciiTheme="majorHAnsi" w:hAnsiTheme="majorHAnsi" w:cs="Arial"/>
                <w:b/>
              </w:rPr>
              <w:t xml:space="preserve">NORMATIVIDAD QUE APOYA LA DECISIÓN </w:t>
            </w:r>
            <w:r w:rsidRPr="0001150E">
              <w:rPr>
                <w:rFonts w:asciiTheme="majorHAnsi" w:hAnsiTheme="majorHAnsi" w:cs="Arial"/>
                <w:b/>
                <w:sz w:val="20"/>
                <w:szCs w:val="20"/>
              </w:rPr>
              <w:t>(si aplica y en relación con el problema jurídico concreto que orienta la ficha):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471B94" w:rsidP="00F5018C">
            <w:pPr>
              <w:rPr>
                <w:rFonts w:asciiTheme="majorHAnsi" w:hAnsiTheme="majorHAnsi" w:cs="Arial"/>
              </w:rPr>
            </w:pP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rPr>
            </w:pPr>
            <w:r w:rsidRPr="0001150E">
              <w:rPr>
                <w:rFonts w:asciiTheme="majorHAnsi" w:hAnsiTheme="majorHAnsi" w:cs="Arial"/>
                <w:b/>
              </w:rPr>
              <w:t xml:space="preserve">JURISPRUDENCIA QUE APOYA LA DECISIÓN </w:t>
            </w:r>
            <w:r w:rsidRPr="0001150E">
              <w:rPr>
                <w:rFonts w:asciiTheme="majorHAnsi" w:hAnsiTheme="majorHAnsi" w:cs="Arial"/>
                <w:b/>
                <w:sz w:val="20"/>
                <w:szCs w:val="20"/>
              </w:rPr>
              <w:t xml:space="preserve">(si aplica y en relación con el problema </w:t>
            </w:r>
            <w:r w:rsidRPr="0001150E">
              <w:rPr>
                <w:rFonts w:asciiTheme="majorHAnsi" w:hAnsiTheme="majorHAnsi" w:cs="Arial"/>
                <w:b/>
                <w:sz w:val="20"/>
                <w:szCs w:val="20"/>
              </w:rPr>
              <w:lastRenderedPageBreak/>
              <w:t>jurídico concreto que orienta la ficha):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500020" w:rsidP="00500020">
            <w:pPr>
              <w:tabs>
                <w:tab w:val="left" w:pos="1256"/>
              </w:tabs>
              <w:rPr>
                <w:rFonts w:asciiTheme="majorHAnsi" w:hAnsiTheme="majorHAnsi" w:cs="Arial"/>
              </w:rPr>
            </w:pPr>
            <w:r>
              <w:rPr>
                <w:rFonts w:asciiTheme="majorHAnsi" w:hAnsiTheme="majorHAnsi" w:cs="Arial"/>
              </w:rPr>
              <w:lastRenderedPageBreak/>
              <w:t>T-262-1998.</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rPr>
            </w:pPr>
            <w:r w:rsidRPr="0001150E">
              <w:rPr>
                <w:rFonts w:asciiTheme="majorHAnsi" w:hAnsiTheme="majorHAnsi" w:cs="Arial"/>
                <w:b/>
              </w:rPr>
              <w:t xml:space="preserve">TESIS JURÍDICA </w:t>
            </w:r>
            <w:r w:rsidRPr="0001150E">
              <w:rPr>
                <w:rFonts w:asciiTheme="majorHAnsi" w:hAnsiTheme="majorHAnsi" w:cs="Arial"/>
                <w:b/>
                <w:sz w:val="20"/>
                <w:szCs w:val="20"/>
              </w:rPr>
              <w:t>(es el resumen del extracto y debe dar respuesta al problema jurídico concreto que orienta la ficha):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F35005" w:rsidRDefault="00F35005" w:rsidP="00350907">
            <w:pPr>
              <w:pStyle w:val="Lista2"/>
              <w:ind w:left="0" w:firstLine="0"/>
              <w:jc w:val="both"/>
              <w:rPr>
                <w:rFonts w:asciiTheme="majorHAnsi" w:eastAsia="MS Mincho" w:hAnsiTheme="majorHAnsi" w:cs="Arial"/>
                <w:szCs w:val="24"/>
                <w:lang w:val="es-CO" w:eastAsia="es-CO"/>
              </w:rPr>
            </w:pPr>
          </w:p>
          <w:p w:rsidR="003342FC" w:rsidRDefault="00D446CD" w:rsidP="00350907">
            <w:pPr>
              <w:pStyle w:val="Lista2"/>
              <w:ind w:left="0" w:firstLine="0"/>
              <w:jc w:val="both"/>
              <w:rPr>
                <w:rFonts w:asciiTheme="majorHAnsi" w:eastAsia="MS Mincho" w:hAnsiTheme="majorHAnsi" w:cs="Arial"/>
                <w:szCs w:val="24"/>
                <w:lang w:val="es-CO" w:eastAsia="es-CO"/>
              </w:rPr>
            </w:pPr>
            <w:r>
              <w:rPr>
                <w:rFonts w:asciiTheme="majorHAnsi" w:eastAsia="MS Mincho" w:hAnsiTheme="majorHAnsi" w:cs="Arial"/>
                <w:szCs w:val="24"/>
                <w:lang w:val="es-CO" w:eastAsia="es-CO"/>
              </w:rPr>
              <w:t xml:space="preserve">Según la jurisprudencia de la Corte Constitucional, no es procedente la acción de tutela  dejar sin efecto o anular las </w:t>
            </w:r>
            <w:r w:rsidR="00350907">
              <w:rPr>
                <w:rFonts w:asciiTheme="majorHAnsi" w:eastAsia="MS Mincho" w:hAnsiTheme="majorHAnsi" w:cs="Arial"/>
                <w:szCs w:val="24"/>
                <w:lang w:val="es-CO" w:eastAsia="es-CO"/>
              </w:rPr>
              <w:t>decisiones</w:t>
            </w:r>
            <w:r>
              <w:rPr>
                <w:rFonts w:asciiTheme="majorHAnsi" w:eastAsia="MS Mincho" w:hAnsiTheme="majorHAnsi" w:cs="Arial"/>
                <w:szCs w:val="24"/>
                <w:lang w:val="es-CO" w:eastAsia="es-CO"/>
              </w:rPr>
              <w:t xml:space="preserve"> adoptadas por la empresa EDASABA</w:t>
            </w:r>
            <w:r w:rsidR="00350907">
              <w:rPr>
                <w:rFonts w:asciiTheme="majorHAnsi" w:eastAsia="MS Mincho" w:hAnsiTheme="majorHAnsi" w:cs="Arial"/>
                <w:szCs w:val="24"/>
                <w:lang w:val="es-CO" w:eastAsia="es-CO"/>
              </w:rPr>
              <w:t xml:space="preserve"> en materia sancionatoria en contra de e</w:t>
            </w:r>
            <w:r w:rsidR="00D86AA0">
              <w:rPr>
                <w:rFonts w:asciiTheme="majorHAnsi" w:eastAsia="MS Mincho" w:hAnsiTheme="majorHAnsi" w:cs="Arial"/>
                <w:szCs w:val="24"/>
                <w:lang w:val="es-CO" w:eastAsia="es-CO"/>
              </w:rPr>
              <w:t>mpleados de la misma, ya que</w:t>
            </w:r>
            <w:r w:rsidR="002551F8">
              <w:rPr>
                <w:rFonts w:asciiTheme="majorHAnsi" w:eastAsia="MS Mincho" w:hAnsiTheme="majorHAnsi" w:cs="Arial"/>
                <w:szCs w:val="24"/>
                <w:lang w:val="es-CO" w:eastAsia="es-CO"/>
              </w:rPr>
              <w:t xml:space="preserve"> </w:t>
            </w:r>
            <w:r w:rsidR="00D86AA0">
              <w:rPr>
                <w:rFonts w:asciiTheme="majorHAnsi" w:eastAsia="MS Mincho" w:hAnsiTheme="majorHAnsi" w:cs="Arial"/>
                <w:szCs w:val="24"/>
                <w:lang w:val="es-CO" w:eastAsia="es-CO"/>
              </w:rPr>
              <w:t xml:space="preserve">este mecanismo no puede sustituir los medios </w:t>
            </w:r>
            <w:r w:rsidR="00F35005">
              <w:rPr>
                <w:rFonts w:asciiTheme="majorHAnsi" w:eastAsia="MS Mincho" w:hAnsiTheme="majorHAnsi" w:cs="Arial"/>
                <w:szCs w:val="24"/>
                <w:lang w:val="es-CO" w:eastAsia="es-CO"/>
              </w:rPr>
              <w:t>judiciales existentes para debatir si procede o no la nulidad de un acto administrativo consistente en disciplinar a un servidor público</w:t>
            </w:r>
            <w:r w:rsidR="002551F8">
              <w:rPr>
                <w:rFonts w:asciiTheme="majorHAnsi" w:eastAsia="MS Mincho" w:hAnsiTheme="majorHAnsi" w:cs="Arial"/>
                <w:szCs w:val="24"/>
                <w:lang w:val="es-CO" w:eastAsia="es-CO"/>
              </w:rPr>
              <w:t>, puesto que no ha sido concebida para tal fin.</w:t>
            </w:r>
            <w:r w:rsidR="002D7CDC">
              <w:rPr>
                <w:rFonts w:asciiTheme="majorHAnsi" w:eastAsia="MS Mincho" w:hAnsiTheme="majorHAnsi" w:cs="Arial"/>
                <w:szCs w:val="24"/>
                <w:lang w:val="es-CO" w:eastAsia="es-CO"/>
              </w:rPr>
              <w:t xml:space="preserve"> </w:t>
            </w:r>
            <w:proofErr w:type="gramStart"/>
            <w:r w:rsidR="002D7CDC">
              <w:rPr>
                <w:rFonts w:asciiTheme="majorHAnsi" w:eastAsia="MS Mincho" w:hAnsiTheme="majorHAnsi" w:cs="Arial"/>
                <w:szCs w:val="24"/>
                <w:lang w:val="es-CO" w:eastAsia="es-CO"/>
              </w:rPr>
              <w:t>de</w:t>
            </w:r>
            <w:proofErr w:type="gramEnd"/>
            <w:r w:rsidR="002D7CDC">
              <w:rPr>
                <w:rFonts w:asciiTheme="majorHAnsi" w:eastAsia="MS Mincho" w:hAnsiTheme="majorHAnsi" w:cs="Arial"/>
                <w:szCs w:val="24"/>
                <w:lang w:val="es-CO" w:eastAsia="es-CO"/>
              </w:rPr>
              <w:t xml:space="preserve"> proceder la acción de tutela el juez natural de ésta invadiría la esfera de competencias del juez contencioso administrativo.</w:t>
            </w:r>
          </w:p>
          <w:p w:rsidR="002D7CDC" w:rsidRDefault="002D7CDC" w:rsidP="002D7CDC">
            <w:pPr>
              <w:pStyle w:val="Lista2"/>
              <w:ind w:left="0" w:firstLine="0"/>
              <w:jc w:val="both"/>
              <w:rPr>
                <w:rFonts w:asciiTheme="majorHAnsi" w:eastAsia="MS Mincho" w:hAnsiTheme="majorHAnsi" w:cs="Arial"/>
                <w:szCs w:val="24"/>
                <w:lang w:val="es-CO" w:eastAsia="es-CO"/>
              </w:rPr>
            </w:pPr>
          </w:p>
          <w:p w:rsidR="00F35005" w:rsidRDefault="003342FC" w:rsidP="002D7CDC">
            <w:pPr>
              <w:pStyle w:val="Lista2"/>
              <w:ind w:left="0" w:firstLine="0"/>
              <w:jc w:val="both"/>
              <w:rPr>
                <w:rFonts w:asciiTheme="majorHAnsi" w:eastAsia="MS Mincho" w:hAnsiTheme="majorHAnsi" w:cs="Arial"/>
                <w:szCs w:val="24"/>
                <w:lang w:val="es-CO" w:eastAsia="es-CO"/>
              </w:rPr>
            </w:pPr>
            <w:r>
              <w:rPr>
                <w:rFonts w:asciiTheme="majorHAnsi" w:eastAsia="MS Mincho" w:hAnsiTheme="majorHAnsi" w:cs="Arial"/>
                <w:szCs w:val="24"/>
                <w:lang w:val="es-CO" w:eastAsia="es-CO"/>
              </w:rPr>
              <w:t xml:space="preserve">En el caso concreto de éste análisis, se encontró que le mecanismo de nulidad y restablecimiento del derecho es el medio idóneo para definir el asunto, </w:t>
            </w:r>
            <w:r w:rsidR="002D7CDC">
              <w:rPr>
                <w:rFonts w:asciiTheme="majorHAnsi" w:eastAsia="MS Mincho" w:hAnsiTheme="majorHAnsi" w:cs="Arial"/>
                <w:szCs w:val="24"/>
                <w:lang w:val="es-CO" w:eastAsia="es-CO"/>
              </w:rPr>
              <w:t>puesto que de proceder este mecanismo de protección el juez de tutela se invadiría la esferas de competencias del juez contencioso administrativo. Así pues, no se encontró procedente la acción de tutela.</w:t>
            </w:r>
          </w:p>
          <w:p w:rsidR="00500020" w:rsidRPr="0001150E" w:rsidRDefault="00500020" w:rsidP="002D7CDC">
            <w:pPr>
              <w:pStyle w:val="Lista2"/>
              <w:ind w:left="0" w:firstLine="0"/>
              <w:jc w:val="both"/>
              <w:rPr>
                <w:rFonts w:asciiTheme="majorHAnsi" w:eastAsia="MS Mincho" w:hAnsiTheme="majorHAnsi" w:cs="Arial"/>
                <w:szCs w:val="24"/>
                <w:lang w:val="es-CO" w:eastAsia="es-CO"/>
              </w:rPr>
            </w:pP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EXTRACTO </w:t>
            </w:r>
            <w:r w:rsidRPr="0001150E">
              <w:rPr>
                <w:rFonts w:asciiTheme="majorHAnsi" w:hAnsiTheme="majorHAnsi" w:cs="Arial"/>
                <w:b/>
                <w:sz w:val="20"/>
                <w:szCs w:val="20"/>
              </w:rPr>
              <w:t>(se cita textualmente el aparte de la providencia analizada que da respuesta al problema jurídico concreto que orienta la ficha, sin comentarios o anotaciones personales, sin pies de página):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2D7CDC" w:rsidRDefault="002D7CDC" w:rsidP="002D7CDC">
            <w:pPr>
              <w:ind w:right="335"/>
              <w:jc w:val="both"/>
              <w:rPr>
                <w:rFonts w:asciiTheme="majorHAnsi" w:hAnsiTheme="majorHAnsi"/>
                <w:i/>
                <w:szCs w:val="28"/>
              </w:rPr>
            </w:pPr>
            <w:r>
              <w:rPr>
                <w:rFonts w:asciiTheme="majorHAnsi" w:hAnsiTheme="majorHAnsi"/>
                <w:i/>
                <w:szCs w:val="28"/>
              </w:rPr>
              <w:t>(…)</w:t>
            </w:r>
          </w:p>
          <w:p w:rsidR="00500020" w:rsidRDefault="00500020" w:rsidP="002D7CDC">
            <w:pPr>
              <w:ind w:right="335"/>
              <w:jc w:val="both"/>
              <w:rPr>
                <w:i/>
                <w:iCs/>
                <w:sz w:val="26"/>
                <w:szCs w:val="26"/>
              </w:rPr>
            </w:pPr>
          </w:p>
          <w:p w:rsidR="002D7CDC" w:rsidRPr="00C76828" w:rsidRDefault="00500020" w:rsidP="002D7CDC">
            <w:pPr>
              <w:ind w:right="335"/>
              <w:jc w:val="both"/>
              <w:rPr>
                <w:rFonts w:asciiTheme="minorHAnsi" w:hAnsiTheme="minorHAnsi"/>
                <w:i/>
                <w:iCs/>
                <w:sz w:val="22"/>
                <w:szCs w:val="22"/>
              </w:rPr>
            </w:pPr>
            <w:r w:rsidRPr="00C76828">
              <w:rPr>
                <w:rFonts w:asciiTheme="minorHAnsi" w:hAnsiTheme="minorHAnsi"/>
                <w:i/>
                <w:iCs/>
                <w:sz w:val="22"/>
                <w:szCs w:val="22"/>
              </w:rPr>
              <w:t>“En esas condiciones, esta Sala de Revisión reitera que la acción de tutela no es –ni puede ser– un mecanismo que reemplace a los medios judiciales existentes para debatir si procede o no la nulidad de un acto administrativo consistente en disciplinar a un servidor público, que es lo que se pretende en el presente caso del juez de tutela.”</w:t>
            </w:r>
          </w:p>
          <w:p w:rsidR="00500020" w:rsidRPr="00C76828" w:rsidRDefault="00500020" w:rsidP="002D7CDC">
            <w:pPr>
              <w:ind w:right="335"/>
              <w:jc w:val="both"/>
              <w:rPr>
                <w:rFonts w:asciiTheme="minorHAnsi" w:hAnsiTheme="minorHAnsi"/>
                <w:i/>
                <w:iCs/>
                <w:sz w:val="22"/>
                <w:szCs w:val="22"/>
              </w:rPr>
            </w:pPr>
          </w:p>
          <w:p w:rsidR="002D7CDC" w:rsidRPr="00C76828" w:rsidRDefault="002D7CDC" w:rsidP="002D7CDC">
            <w:pPr>
              <w:ind w:right="335"/>
              <w:jc w:val="both"/>
              <w:rPr>
                <w:rFonts w:asciiTheme="minorHAnsi" w:hAnsiTheme="minorHAnsi"/>
                <w:i/>
                <w:iCs/>
                <w:sz w:val="22"/>
                <w:szCs w:val="22"/>
              </w:rPr>
            </w:pPr>
            <w:r w:rsidRPr="00C76828">
              <w:rPr>
                <w:rFonts w:asciiTheme="minorHAnsi" w:hAnsiTheme="minorHAnsi"/>
                <w:i/>
                <w:iCs/>
                <w:sz w:val="22"/>
                <w:szCs w:val="22"/>
              </w:rPr>
              <w:t>“La acción de tutela no ha sido concebida como un instrumento para sustituir los demás medios de defensa judicial, sino como un mecanismo que complementa los otros recursos y acciones, en la medida en que cubre aquellos espacios que éstos no abarcan o lo hacen deficientemente. Aceptar lo contrario sería admitir que el juez constitucional tomara el lugar de las otras jurisdicciones, resultado que iría en contra del fin de la jurisdicción constitucional, cual es el de velar por la guarda e integridad de la Constitución, tarea que comprende también la de asegurar las competencias de las otras jurisdicciones. Es por eso que esta Corte estableció que dentro de las labores que le impone la Constitución "está la de señalarle a la acción de tutela límites precisos, de manera que se pueda armonizar el interés por la defensa de los derechos fundamentales con la obligación de respetar el marco de acción de las jurisdicciones establecidas."</w:t>
            </w:r>
          </w:p>
          <w:p w:rsidR="00471B94" w:rsidRPr="003A3DDE" w:rsidRDefault="00471B94" w:rsidP="002D7CDC">
            <w:pPr>
              <w:ind w:right="335"/>
              <w:jc w:val="both"/>
              <w:rPr>
                <w:rFonts w:asciiTheme="majorHAnsi" w:hAnsiTheme="majorHAnsi"/>
                <w:i/>
                <w:sz w:val="28"/>
                <w:szCs w:val="28"/>
              </w:rPr>
            </w:pPr>
            <w:r w:rsidRPr="003A3DDE">
              <w:rPr>
                <w:rFonts w:asciiTheme="majorHAnsi" w:hAnsiTheme="majorHAnsi"/>
                <w:i/>
                <w:szCs w:val="28"/>
              </w:rPr>
              <w:t xml:space="preserve"> </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A97EC7" w:rsidRDefault="00471B94" w:rsidP="00F5018C">
            <w:pPr>
              <w:rPr>
                <w:rFonts w:asciiTheme="majorHAnsi" w:hAnsiTheme="majorHAnsi" w:cs="Arial"/>
                <w:b/>
                <w:sz w:val="20"/>
                <w:szCs w:val="20"/>
              </w:rPr>
            </w:pPr>
            <w:r w:rsidRPr="0001150E">
              <w:rPr>
                <w:rFonts w:asciiTheme="majorHAnsi" w:hAnsiTheme="majorHAnsi" w:cs="Arial"/>
                <w:b/>
              </w:rPr>
              <w:t xml:space="preserve">SALVAMENTO DE VOTO </w:t>
            </w:r>
            <w:r w:rsidRPr="0001150E">
              <w:rPr>
                <w:rFonts w:asciiTheme="majorHAnsi" w:hAnsiTheme="majorHAnsi" w:cs="Arial"/>
                <w:b/>
                <w:sz w:val="20"/>
                <w:szCs w:val="20"/>
              </w:rPr>
              <w:t>(si aplica*, se identifica al magistrado que salvó y la votación):</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*TESIS JURÍDICA DEL SALVAMENTO </w:t>
            </w:r>
            <w:r w:rsidRPr="0001150E">
              <w:rPr>
                <w:rFonts w:asciiTheme="majorHAnsi" w:hAnsiTheme="majorHAnsi" w:cs="Arial"/>
                <w:b/>
                <w:sz w:val="20"/>
                <w:szCs w:val="20"/>
              </w:rPr>
              <w:t>(es el resumen del extracto del salvamento y debe guardar coherencia con el problema jurídico concreto que orienta la ficha):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471B94" w:rsidP="00F5018C">
            <w:pPr>
              <w:rPr>
                <w:rFonts w:asciiTheme="majorHAnsi" w:hAnsiTheme="majorHAnsi" w:cs="Arial"/>
              </w:rPr>
            </w:pP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*EXTRACTO DEL SALVAMENTO </w:t>
            </w:r>
            <w:r w:rsidRPr="0001150E">
              <w:rPr>
                <w:rFonts w:asciiTheme="majorHAnsi" w:hAnsiTheme="majorHAnsi" w:cs="Arial"/>
                <w:b/>
                <w:sz w:val="20"/>
                <w:szCs w:val="20"/>
              </w:rPr>
              <w:t>(se cita textualmente el aparte del salvamento que cuestiona o se aparta de la solución jurídica dada por la providencia problema jurídico concreto que orienta la ficha, sin comentarios o anotaciones personales):</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471B94" w:rsidP="00F5018C">
            <w:pPr>
              <w:ind w:right="335"/>
              <w:jc w:val="both"/>
              <w:rPr>
                <w:rFonts w:asciiTheme="majorHAnsi" w:hAnsiTheme="majorHAnsi" w:cs="Arial"/>
              </w:rPr>
            </w:pP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lastRenderedPageBreak/>
              <w:t xml:space="preserve">ACLARACIÓN DE VOTO </w:t>
            </w:r>
            <w:r w:rsidRPr="0001150E">
              <w:rPr>
                <w:rFonts w:asciiTheme="majorHAnsi" w:hAnsiTheme="majorHAnsi" w:cs="Arial"/>
                <w:b/>
                <w:sz w:val="20"/>
                <w:szCs w:val="20"/>
              </w:rPr>
              <w:t>(si aplica** se identifica al magistrado que aclaró y la votación):</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471B94" w:rsidP="00F5018C">
            <w:pPr>
              <w:rPr>
                <w:rFonts w:asciiTheme="majorHAnsi" w:hAnsiTheme="majorHAnsi" w:cs="Arial"/>
              </w:rPr>
            </w:pPr>
            <w:r w:rsidRPr="0001150E">
              <w:rPr>
                <w:rFonts w:asciiTheme="majorHAnsi" w:hAnsiTheme="majorHAnsi" w:cs="Arial"/>
              </w:rPr>
              <w:t xml:space="preserve">N/A </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**TESIS JURÍDICA DE LA ACLARACIÓN </w:t>
            </w:r>
            <w:r w:rsidRPr="0001150E">
              <w:rPr>
                <w:rFonts w:asciiTheme="majorHAnsi" w:hAnsiTheme="majorHAnsi" w:cs="Arial"/>
                <w:b/>
                <w:sz w:val="20"/>
                <w:szCs w:val="20"/>
              </w:rPr>
              <w:t>(es el resumen del extracto de la aclaración y debe guardar coherencia con el problema jurídico concreto que orienta la ficha):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471B94" w:rsidP="00F5018C">
            <w:pPr>
              <w:jc w:val="both"/>
              <w:rPr>
                <w:rFonts w:asciiTheme="majorHAnsi" w:hAnsiTheme="majorHAnsi" w:cs="Arial"/>
              </w:rPr>
            </w:pPr>
            <w:r w:rsidRPr="0001150E">
              <w:rPr>
                <w:rFonts w:asciiTheme="majorHAnsi" w:hAnsiTheme="majorHAnsi" w:cs="Arial"/>
              </w:rPr>
              <w:t>N/A</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B94" w:rsidRPr="0001150E" w:rsidRDefault="00471B94" w:rsidP="00F5018C">
            <w:pPr>
              <w:rPr>
                <w:rFonts w:asciiTheme="majorHAnsi" w:hAnsiTheme="majorHAnsi" w:cs="Arial"/>
                <w:b/>
              </w:rPr>
            </w:pPr>
            <w:r w:rsidRPr="0001150E">
              <w:rPr>
                <w:rFonts w:asciiTheme="majorHAnsi" w:hAnsiTheme="majorHAnsi" w:cs="Arial"/>
                <w:b/>
              </w:rPr>
              <w:t xml:space="preserve">**EXTRACTO DE LA ACLARACIÓN </w:t>
            </w:r>
            <w:r w:rsidRPr="0001150E">
              <w:rPr>
                <w:rFonts w:asciiTheme="majorHAnsi" w:hAnsiTheme="majorHAnsi" w:cs="Arial"/>
                <w:b/>
                <w:sz w:val="20"/>
                <w:szCs w:val="20"/>
              </w:rPr>
              <w:t>(se cita textualmente el aparte del salvamento que cuestiona o se aparta de la solución jurídica dada por la providencia problema jurídico concreto que orienta la ficha, sin comentarios o anotaciones personales):</w:t>
            </w:r>
          </w:p>
        </w:tc>
      </w:tr>
      <w:tr w:rsidR="00471B94" w:rsidRPr="0001150E" w:rsidTr="00F5018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94" w:rsidRPr="0001150E" w:rsidRDefault="00471B94" w:rsidP="00F5018C">
            <w:pPr>
              <w:tabs>
                <w:tab w:val="left" w:pos="3170"/>
              </w:tabs>
              <w:overflowPunct w:val="0"/>
              <w:autoSpaceDE w:val="0"/>
              <w:autoSpaceDN w:val="0"/>
              <w:adjustRightInd w:val="0"/>
              <w:jc w:val="both"/>
              <w:textAlignment w:val="baseline"/>
              <w:rPr>
                <w:rFonts w:asciiTheme="majorHAnsi" w:hAnsiTheme="majorHAnsi" w:cs="Arial"/>
              </w:rPr>
            </w:pPr>
            <w:r w:rsidRPr="0001150E">
              <w:rPr>
                <w:rFonts w:asciiTheme="majorHAnsi" w:hAnsiTheme="majorHAnsi" w:cs="Arial"/>
              </w:rPr>
              <w:t xml:space="preserve"> N/A</w:t>
            </w:r>
          </w:p>
          <w:p w:rsidR="00471B94" w:rsidRPr="0001150E" w:rsidRDefault="00471B94" w:rsidP="00F5018C">
            <w:pPr>
              <w:jc w:val="both"/>
              <w:rPr>
                <w:rFonts w:asciiTheme="majorHAnsi" w:hAnsiTheme="majorHAnsi" w:cs="Arial"/>
              </w:rPr>
            </w:pPr>
          </w:p>
        </w:tc>
      </w:tr>
    </w:tbl>
    <w:p w:rsidR="00471B94" w:rsidRPr="0001150E" w:rsidRDefault="00471B94" w:rsidP="00471B94">
      <w:pPr>
        <w:rPr>
          <w:rFonts w:asciiTheme="majorHAnsi" w:hAnsiTheme="majorHAnsi" w:cs="Arial"/>
          <w:b/>
        </w:rPr>
      </w:pPr>
    </w:p>
    <w:p w:rsidR="00471B94" w:rsidRPr="0001150E" w:rsidRDefault="00471B94" w:rsidP="00471B94">
      <w:pPr>
        <w:rPr>
          <w:rFonts w:asciiTheme="majorHAnsi" w:hAnsiTheme="majorHAnsi"/>
        </w:rPr>
      </w:pPr>
    </w:p>
    <w:tbl>
      <w:tblPr>
        <w:tblStyle w:val="Tablaconcuadrcula"/>
        <w:tblW w:w="0" w:type="auto"/>
        <w:tblInd w:w="846" w:type="dxa"/>
        <w:tblLook w:val="04A0" w:firstRow="1" w:lastRow="0" w:firstColumn="1" w:lastColumn="0" w:noHBand="0" w:noVBand="1"/>
      </w:tblPr>
      <w:tblGrid>
        <w:gridCol w:w="1271"/>
        <w:gridCol w:w="7943"/>
      </w:tblGrid>
      <w:tr w:rsidR="00471B94" w:rsidRPr="0001150E" w:rsidTr="00F5018C">
        <w:tc>
          <w:tcPr>
            <w:tcW w:w="1271" w:type="dxa"/>
            <w:shd w:val="clear" w:color="auto" w:fill="BFBFBF" w:themeFill="background1" w:themeFillShade="BF"/>
            <w:vAlign w:val="center"/>
          </w:tcPr>
          <w:p w:rsidR="00471B94" w:rsidRPr="0001150E" w:rsidRDefault="00471B94" w:rsidP="00F5018C">
            <w:pPr>
              <w:jc w:val="center"/>
              <w:rPr>
                <w:rFonts w:asciiTheme="majorHAnsi" w:hAnsiTheme="majorHAnsi"/>
              </w:rPr>
            </w:pPr>
            <w:r w:rsidRPr="0001150E">
              <w:rPr>
                <w:rFonts w:asciiTheme="majorHAnsi" w:hAnsiTheme="majorHAnsi" w:cs="Arial"/>
                <w:b/>
              </w:rPr>
              <w:t>Elaboró:</w:t>
            </w:r>
          </w:p>
        </w:tc>
        <w:tc>
          <w:tcPr>
            <w:tcW w:w="7943" w:type="dxa"/>
            <w:shd w:val="clear" w:color="auto" w:fill="F2F2F2" w:themeFill="background1" w:themeFillShade="F2"/>
          </w:tcPr>
          <w:p w:rsidR="00471B94" w:rsidRPr="0001150E" w:rsidRDefault="00471B94" w:rsidP="00F5018C">
            <w:pPr>
              <w:rPr>
                <w:rFonts w:asciiTheme="majorHAnsi" w:hAnsiTheme="majorHAnsi"/>
              </w:rPr>
            </w:pPr>
            <w:r>
              <w:rPr>
                <w:rFonts w:asciiTheme="majorHAnsi" w:hAnsiTheme="majorHAnsi"/>
              </w:rPr>
              <w:t>Valeria Borda Naranjo.</w:t>
            </w:r>
          </w:p>
        </w:tc>
      </w:tr>
      <w:tr w:rsidR="00471B94" w:rsidRPr="0001150E" w:rsidTr="00F5018C">
        <w:tc>
          <w:tcPr>
            <w:tcW w:w="1271" w:type="dxa"/>
            <w:shd w:val="clear" w:color="auto" w:fill="BFBFBF" w:themeFill="background1" w:themeFillShade="BF"/>
            <w:vAlign w:val="center"/>
          </w:tcPr>
          <w:p w:rsidR="00471B94" w:rsidRPr="0001150E" w:rsidRDefault="00471B94" w:rsidP="00F5018C">
            <w:pPr>
              <w:jc w:val="center"/>
              <w:rPr>
                <w:rFonts w:asciiTheme="majorHAnsi" w:hAnsiTheme="majorHAnsi" w:cs="Arial"/>
                <w:b/>
              </w:rPr>
            </w:pPr>
            <w:r w:rsidRPr="0001150E">
              <w:rPr>
                <w:rFonts w:asciiTheme="majorHAnsi" w:hAnsiTheme="majorHAnsi" w:cs="Arial"/>
                <w:b/>
              </w:rPr>
              <w:t>Revisó y aprobó:</w:t>
            </w:r>
          </w:p>
        </w:tc>
        <w:tc>
          <w:tcPr>
            <w:tcW w:w="7943" w:type="dxa"/>
            <w:shd w:val="clear" w:color="auto" w:fill="F2F2F2" w:themeFill="background1" w:themeFillShade="F2"/>
          </w:tcPr>
          <w:p w:rsidR="00471B94" w:rsidRPr="0001150E" w:rsidRDefault="00C76828" w:rsidP="00F5018C">
            <w:pPr>
              <w:rPr>
                <w:rFonts w:asciiTheme="majorHAnsi" w:hAnsiTheme="majorHAnsi"/>
              </w:rPr>
            </w:pPr>
            <w:r w:rsidRPr="00C76828">
              <w:rPr>
                <w:rFonts w:asciiTheme="majorHAnsi" w:hAnsiTheme="majorHAnsi"/>
              </w:rPr>
              <w:t>Sandra Lucia Barriga Moreno</w:t>
            </w:r>
            <w:bookmarkStart w:id="0" w:name="_GoBack"/>
            <w:bookmarkEnd w:id="0"/>
          </w:p>
        </w:tc>
      </w:tr>
    </w:tbl>
    <w:p w:rsidR="00471B94" w:rsidRPr="0001150E" w:rsidRDefault="00471B94" w:rsidP="00471B94">
      <w:pPr>
        <w:rPr>
          <w:rFonts w:asciiTheme="majorHAnsi" w:hAnsiTheme="majorHAnsi"/>
        </w:rPr>
      </w:pPr>
    </w:p>
    <w:p w:rsidR="00471B94" w:rsidRPr="0001150E" w:rsidRDefault="00471B94" w:rsidP="00471B94">
      <w:pPr>
        <w:rPr>
          <w:rFonts w:asciiTheme="majorHAnsi" w:hAnsiTheme="majorHAnsi"/>
        </w:rPr>
      </w:pPr>
    </w:p>
    <w:p w:rsidR="00540F11" w:rsidRDefault="00852156"/>
    <w:sectPr w:rsidR="00540F11" w:rsidSect="00A163FF">
      <w:headerReference w:type="default" r:id="rId7"/>
      <w:footerReference w:type="default" r:id="rId8"/>
      <w:pgSz w:w="12240" w:h="15840" w:code="1"/>
      <w:pgMar w:top="720" w:right="720" w:bottom="720" w:left="72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156" w:rsidRDefault="00852156">
      <w:r>
        <w:separator/>
      </w:r>
    </w:p>
  </w:endnote>
  <w:endnote w:type="continuationSeparator" w:id="0">
    <w:p w:rsidR="00852156" w:rsidRDefault="0085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18" w:rsidRDefault="00852156">
    <w:pPr>
      <w:pStyle w:val="Piedepgina"/>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6E6018" w:rsidRPr="00D95B03" w:rsidTr="00D95B03">
      <w:tc>
        <w:tcPr>
          <w:tcW w:w="3596" w:type="dxa"/>
          <w:vAlign w:val="center"/>
        </w:tcPr>
        <w:p w:rsidR="006E6018" w:rsidRPr="00D95B03" w:rsidRDefault="00471B94" w:rsidP="00D95B03">
          <w:pPr>
            <w:pStyle w:val="Piedepgina"/>
            <w:jc w:val="center"/>
            <w:rPr>
              <w:rFonts w:asciiTheme="majorHAnsi" w:hAnsiTheme="majorHAnsi"/>
              <w:sz w:val="18"/>
              <w:szCs w:val="16"/>
            </w:rPr>
          </w:pPr>
          <w:r w:rsidRPr="00D95B03">
            <w:rPr>
              <w:rFonts w:asciiTheme="majorHAnsi" w:hAnsiTheme="majorHAnsi"/>
              <w:sz w:val="18"/>
            </w:rPr>
            <w:t xml:space="preserve">Código: </w:t>
          </w:r>
          <w:r>
            <w:rPr>
              <w:rFonts w:asciiTheme="majorHAnsi" w:hAnsiTheme="majorHAnsi"/>
              <w:color w:val="000000"/>
              <w:sz w:val="18"/>
            </w:rPr>
            <w:t>GP-F-01 V-0</w:t>
          </w:r>
        </w:p>
      </w:tc>
      <w:tc>
        <w:tcPr>
          <w:tcW w:w="3597" w:type="dxa"/>
          <w:vAlign w:val="center"/>
        </w:tcPr>
        <w:p w:rsidR="006E6018" w:rsidRPr="00D95B03" w:rsidRDefault="00852156" w:rsidP="00D95B03">
          <w:pPr>
            <w:pStyle w:val="Piedepgina"/>
            <w:jc w:val="center"/>
            <w:rPr>
              <w:rFonts w:asciiTheme="majorHAnsi" w:hAnsiTheme="majorHAnsi"/>
              <w:sz w:val="18"/>
              <w:szCs w:val="16"/>
            </w:rPr>
          </w:pPr>
        </w:p>
      </w:tc>
      <w:tc>
        <w:tcPr>
          <w:tcW w:w="3597" w:type="dxa"/>
          <w:vAlign w:val="center"/>
        </w:tcPr>
        <w:sdt>
          <w:sdtPr>
            <w:rPr>
              <w:rFonts w:asciiTheme="majorHAnsi" w:hAnsiTheme="majorHAnsi"/>
              <w:sz w:val="18"/>
              <w:lang w:val="es-ES"/>
            </w:rPr>
            <w:id w:val="-995869099"/>
            <w:docPartObj>
              <w:docPartGallery w:val="Page Numbers (Top of Page)"/>
              <w:docPartUnique/>
            </w:docPartObj>
          </w:sdtPr>
          <w:sdtEndPr/>
          <w:sdtContent>
            <w:p w:rsidR="006E6018" w:rsidRPr="00D95B03" w:rsidRDefault="00471B94" w:rsidP="00D95B03">
              <w:pPr>
                <w:jc w:val="center"/>
                <w:rPr>
                  <w:rFonts w:asciiTheme="majorHAnsi" w:hAnsiTheme="majorHAnsi"/>
                  <w:sz w:val="18"/>
                  <w:lang w:val="es-ES"/>
                </w:rPr>
              </w:pPr>
              <w:r w:rsidRPr="00D95B03">
                <w:rPr>
                  <w:rFonts w:asciiTheme="majorHAnsi" w:hAnsiTheme="majorHAnsi"/>
                  <w:sz w:val="18"/>
                  <w:lang w:val="es-ES"/>
                </w:rPr>
                <w:t xml:space="preserve">Página </w:t>
              </w:r>
              <w:r w:rsidRPr="00D95B03">
                <w:rPr>
                  <w:rFonts w:asciiTheme="majorHAnsi" w:hAnsiTheme="majorHAnsi"/>
                  <w:sz w:val="18"/>
                  <w:lang w:val="es-ES"/>
                </w:rPr>
                <w:fldChar w:fldCharType="begin"/>
              </w:r>
              <w:r w:rsidRPr="00D95B03">
                <w:rPr>
                  <w:rFonts w:asciiTheme="majorHAnsi" w:hAnsiTheme="majorHAnsi"/>
                  <w:sz w:val="18"/>
                  <w:lang w:val="es-ES"/>
                </w:rPr>
                <w:instrText xml:space="preserve"> PAGE </w:instrText>
              </w:r>
              <w:r w:rsidRPr="00D95B03">
                <w:rPr>
                  <w:rFonts w:asciiTheme="majorHAnsi" w:hAnsiTheme="majorHAnsi"/>
                  <w:sz w:val="18"/>
                  <w:lang w:val="es-ES"/>
                </w:rPr>
                <w:fldChar w:fldCharType="separate"/>
              </w:r>
              <w:r w:rsidR="00C76828">
                <w:rPr>
                  <w:rFonts w:asciiTheme="majorHAnsi" w:hAnsiTheme="majorHAnsi"/>
                  <w:noProof/>
                  <w:sz w:val="18"/>
                  <w:lang w:val="es-ES"/>
                </w:rPr>
                <w:t>3</w:t>
              </w:r>
              <w:r w:rsidRPr="00D95B03">
                <w:rPr>
                  <w:rFonts w:asciiTheme="majorHAnsi" w:hAnsiTheme="majorHAnsi"/>
                  <w:sz w:val="18"/>
                  <w:lang w:val="es-ES"/>
                </w:rPr>
                <w:fldChar w:fldCharType="end"/>
              </w:r>
              <w:r w:rsidRPr="00D95B03">
                <w:rPr>
                  <w:rFonts w:asciiTheme="majorHAnsi" w:hAnsiTheme="majorHAnsi"/>
                  <w:sz w:val="18"/>
                  <w:lang w:val="es-ES"/>
                </w:rPr>
                <w:t xml:space="preserve"> de </w:t>
              </w:r>
              <w:r w:rsidRPr="00D95B03">
                <w:rPr>
                  <w:rFonts w:asciiTheme="majorHAnsi" w:hAnsiTheme="majorHAnsi"/>
                  <w:sz w:val="18"/>
                  <w:lang w:val="es-ES"/>
                </w:rPr>
                <w:fldChar w:fldCharType="begin"/>
              </w:r>
              <w:r w:rsidRPr="00D95B03">
                <w:rPr>
                  <w:rFonts w:asciiTheme="majorHAnsi" w:hAnsiTheme="majorHAnsi"/>
                  <w:sz w:val="18"/>
                  <w:lang w:val="es-ES"/>
                </w:rPr>
                <w:instrText xml:space="preserve"> NUMPAGES  </w:instrText>
              </w:r>
              <w:r w:rsidRPr="00D95B03">
                <w:rPr>
                  <w:rFonts w:asciiTheme="majorHAnsi" w:hAnsiTheme="majorHAnsi"/>
                  <w:sz w:val="18"/>
                  <w:lang w:val="es-ES"/>
                </w:rPr>
                <w:fldChar w:fldCharType="separate"/>
              </w:r>
              <w:r w:rsidR="00C76828">
                <w:rPr>
                  <w:rFonts w:asciiTheme="majorHAnsi" w:hAnsiTheme="majorHAnsi"/>
                  <w:noProof/>
                  <w:sz w:val="18"/>
                  <w:lang w:val="es-ES"/>
                </w:rPr>
                <w:t>3</w:t>
              </w:r>
              <w:r w:rsidRPr="00D95B03">
                <w:rPr>
                  <w:rFonts w:asciiTheme="majorHAnsi" w:hAnsiTheme="majorHAnsi"/>
                  <w:sz w:val="18"/>
                  <w:lang w:val="es-ES"/>
                </w:rPr>
                <w:fldChar w:fldCharType="end"/>
              </w:r>
            </w:p>
          </w:sdtContent>
        </w:sdt>
      </w:tc>
    </w:tr>
  </w:tbl>
  <w:p w:rsidR="006E6018" w:rsidRPr="00D95B03" w:rsidRDefault="00852156" w:rsidP="00D95B03">
    <w:pPr>
      <w:pStyle w:val="Piedepgina"/>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156" w:rsidRDefault="00852156">
      <w:r>
        <w:separator/>
      </w:r>
    </w:p>
  </w:footnote>
  <w:footnote w:type="continuationSeparator" w:id="0">
    <w:p w:rsidR="00852156" w:rsidRDefault="0085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2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0"/>
    </w:tblGrid>
    <w:tr w:rsidR="008F67F8" w:rsidTr="008F67F8">
      <w:tc>
        <w:tcPr>
          <w:tcW w:w="5970" w:type="dxa"/>
          <w:vAlign w:val="center"/>
        </w:tcPr>
        <w:p w:rsidR="008F67F8" w:rsidRPr="0078118B" w:rsidRDefault="00471B94" w:rsidP="008F67F8">
          <w:pPr>
            <w:jc w:val="center"/>
            <w:rPr>
              <w:rFonts w:asciiTheme="majorHAnsi" w:hAnsiTheme="majorHAnsi"/>
              <w:b/>
            </w:rPr>
          </w:pPr>
          <w:r>
            <w:rPr>
              <w:rFonts w:asciiTheme="majorHAnsi" w:hAnsiTheme="majorHAnsi"/>
              <w:b/>
            </w:rPr>
            <w:t>FICHA DE ANÁLISIS JURISPRUDENCIAL</w:t>
          </w:r>
        </w:p>
      </w:tc>
    </w:tr>
  </w:tbl>
  <w:p w:rsidR="006E6018" w:rsidRDefault="00852156" w:rsidP="00476AA4">
    <w:pPr>
      <w:rPr>
        <w:rFonts w:asciiTheme="majorHAnsi" w:hAnsi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94"/>
    <w:rsid w:val="00196C76"/>
    <w:rsid w:val="00237AE8"/>
    <w:rsid w:val="002551F8"/>
    <w:rsid w:val="002D7CDC"/>
    <w:rsid w:val="003342FC"/>
    <w:rsid w:val="00350907"/>
    <w:rsid w:val="0040748B"/>
    <w:rsid w:val="00471B94"/>
    <w:rsid w:val="00500020"/>
    <w:rsid w:val="00616EA5"/>
    <w:rsid w:val="00852156"/>
    <w:rsid w:val="00877FB0"/>
    <w:rsid w:val="00BD31FA"/>
    <w:rsid w:val="00C76828"/>
    <w:rsid w:val="00D446CD"/>
    <w:rsid w:val="00D86AA0"/>
    <w:rsid w:val="00EB6D7D"/>
    <w:rsid w:val="00F350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B94"/>
    <w:pPr>
      <w:spacing w:after="0" w:line="240" w:lineRule="auto"/>
    </w:pPr>
    <w:rPr>
      <w:rFonts w:ascii="Times New Roman" w:eastAsia="MS Mincho"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71B9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71B94"/>
  </w:style>
  <w:style w:type="table" w:styleId="Tablaconcuadrcula">
    <w:name w:val="Table Grid"/>
    <w:basedOn w:val="Tablanormal"/>
    <w:uiPriority w:val="39"/>
    <w:rsid w:val="00471B94"/>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rsid w:val="00471B94"/>
    <w:pPr>
      <w:overflowPunct w:val="0"/>
      <w:autoSpaceDE w:val="0"/>
      <w:autoSpaceDN w:val="0"/>
      <w:adjustRightInd w:val="0"/>
      <w:ind w:left="566" w:hanging="283"/>
      <w:textAlignment w:val="baseline"/>
    </w:pPr>
    <w:rPr>
      <w:rFonts w:ascii="Century Gothic" w:eastAsia="Times New Roman" w:hAnsi="Century Gothic"/>
      <w:szCs w:val="20"/>
      <w:lang w:val="es-ES" w:eastAsia="es-ES"/>
    </w:rPr>
  </w:style>
  <w:style w:type="paragraph" w:styleId="Sinespaciado">
    <w:name w:val="No Spacing"/>
    <w:uiPriority w:val="1"/>
    <w:qFormat/>
    <w:rsid w:val="00EB6D7D"/>
    <w:pPr>
      <w:spacing w:after="0" w:line="240" w:lineRule="auto"/>
    </w:pPr>
    <w:rPr>
      <w:rFonts w:ascii="Times New Roman" w:eastAsia="MS Mincho"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B94"/>
    <w:pPr>
      <w:spacing w:after="0" w:line="240" w:lineRule="auto"/>
    </w:pPr>
    <w:rPr>
      <w:rFonts w:ascii="Times New Roman" w:eastAsia="MS Mincho"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71B9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71B94"/>
  </w:style>
  <w:style w:type="table" w:styleId="Tablaconcuadrcula">
    <w:name w:val="Table Grid"/>
    <w:basedOn w:val="Tablanormal"/>
    <w:uiPriority w:val="39"/>
    <w:rsid w:val="00471B94"/>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rsid w:val="00471B94"/>
    <w:pPr>
      <w:overflowPunct w:val="0"/>
      <w:autoSpaceDE w:val="0"/>
      <w:autoSpaceDN w:val="0"/>
      <w:adjustRightInd w:val="0"/>
      <w:ind w:left="566" w:hanging="283"/>
      <w:textAlignment w:val="baseline"/>
    </w:pPr>
    <w:rPr>
      <w:rFonts w:ascii="Century Gothic" w:eastAsia="Times New Roman" w:hAnsi="Century Gothic"/>
      <w:szCs w:val="20"/>
      <w:lang w:val="es-ES" w:eastAsia="es-ES"/>
    </w:rPr>
  </w:style>
  <w:style w:type="paragraph" w:styleId="Sinespaciado">
    <w:name w:val="No Spacing"/>
    <w:uiPriority w:val="1"/>
    <w:qFormat/>
    <w:rsid w:val="00EB6D7D"/>
    <w:pPr>
      <w:spacing w:after="0" w:line="240" w:lineRule="auto"/>
    </w:pPr>
    <w:rPr>
      <w:rFonts w:ascii="Times New Roman" w:eastAsia="MS Mincho"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4819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Djuridica Sala  de Juntas</dc:creator>
  <cp:lastModifiedBy>Sandra Lucia Barriga Moreno</cp:lastModifiedBy>
  <cp:revision>2</cp:revision>
  <dcterms:created xsi:type="dcterms:W3CDTF">2019-09-25T15:29:00Z</dcterms:created>
  <dcterms:modified xsi:type="dcterms:W3CDTF">2019-09-25T15:29:00Z</dcterms:modified>
</cp:coreProperties>
</file>