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84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468"/>
      </w:tblGrid>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rPr>
            </w:pPr>
            <w:r w:rsidRPr="00234F2D">
              <w:rPr>
                <w:rFonts w:asciiTheme="minorHAnsi" w:hAnsiTheme="minorHAnsi" w:cstheme="minorHAnsi"/>
                <w:b/>
              </w:rPr>
              <w:t>NÚMERO DEL PROCESO (radicación 23 dígitos + n.° expediente):</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B01620">
              <w:rPr>
                <w:rFonts w:asciiTheme="minorHAnsi" w:hAnsiTheme="minorHAnsi" w:cstheme="minorHAnsi"/>
              </w:rPr>
              <w:t>T-882060</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rPr>
            </w:pPr>
            <w:r w:rsidRPr="00234F2D">
              <w:rPr>
                <w:rFonts w:asciiTheme="minorHAnsi" w:hAnsiTheme="minorHAnsi" w:cstheme="minorHAnsi"/>
                <w:b/>
              </w:rPr>
              <w:t>TIPO DE PROCESO (tipo de acción):</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234F2D">
              <w:rPr>
                <w:rFonts w:asciiTheme="minorHAnsi" w:hAnsiTheme="minorHAnsi" w:cstheme="minorHAnsi"/>
              </w:rPr>
              <w:t xml:space="preserve">ACCIÓN DE TUTELA.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 xml:space="preserve">TIPO DE PROVIDENCIA (sentencia de unificación, sentencia, auto de unificación, auto):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234F2D">
              <w:rPr>
                <w:rFonts w:asciiTheme="minorHAnsi" w:hAnsiTheme="minorHAnsi" w:cstheme="minorHAnsi"/>
              </w:rPr>
              <w:t>SENTENCIA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NÚMERO DE LA SENTENCIA (si aplica):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8225A0" w:rsidP="008225A0">
            <w:pPr>
              <w:rPr>
                <w:rFonts w:asciiTheme="minorHAnsi" w:hAnsiTheme="minorHAnsi" w:cstheme="minorHAnsi"/>
              </w:rPr>
            </w:pPr>
            <w:r>
              <w:rPr>
                <w:rFonts w:asciiTheme="minorHAnsi" w:hAnsiTheme="minorHAnsi" w:cstheme="minorHAnsi"/>
              </w:rPr>
              <w:t>T-737-</w:t>
            </w:r>
            <w:r w:rsidR="00B01620">
              <w:rPr>
                <w:rFonts w:asciiTheme="minorHAnsi" w:hAnsiTheme="minorHAnsi" w:cstheme="minorHAnsi"/>
              </w:rPr>
              <w:t>2004</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 xml:space="preserve">FECHA DE LA PROVIDENCIA (año/mes/día):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Pr>
                <w:rFonts w:asciiTheme="minorHAnsi" w:hAnsiTheme="minorHAnsi" w:cstheme="minorHAnsi"/>
              </w:rPr>
              <w:t>2004/08/05</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DESPACHO (corporación/sección/subsección/sala plena/sala de decisión):</w:t>
            </w:r>
            <w:r w:rsidRPr="00234F2D">
              <w:rPr>
                <w:rFonts w:asciiTheme="minorHAnsi" w:hAnsiTheme="minorHAnsi" w:cstheme="minorHAnsi"/>
              </w:rPr>
              <w:t xml:space="preserve">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auto"/>
          </w:tcPr>
          <w:p w:rsidR="00B01620" w:rsidRPr="00234F2D" w:rsidRDefault="00B01620" w:rsidP="0071418F">
            <w:pPr>
              <w:rPr>
                <w:rFonts w:asciiTheme="minorHAnsi" w:hAnsiTheme="minorHAnsi" w:cstheme="minorHAnsi"/>
              </w:rPr>
            </w:pPr>
            <w:r>
              <w:rPr>
                <w:rFonts w:asciiTheme="minorHAnsi" w:hAnsiTheme="minorHAnsi" w:cstheme="minorHAnsi"/>
              </w:rPr>
              <w:t>CORTE CONSTITUCIONAL/SALA NOVENA DE REVISIÓN.</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 xml:space="preserve">MAGISTRADO PONENTE: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auto"/>
          </w:tcPr>
          <w:p w:rsidR="00B01620" w:rsidRPr="00B01620" w:rsidRDefault="00B01620" w:rsidP="0071418F">
            <w:pPr>
              <w:rPr>
                <w:rFonts w:asciiTheme="minorHAnsi" w:hAnsiTheme="minorHAnsi" w:cstheme="minorHAnsi"/>
              </w:rPr>
            </w:pPr>
            <w:r>
              <w:rPr>
                <w:rFonts w:asciiTheme="minorHAnsi" w:hAnsiTheme="minorHAnsi" w:cstheme="minorHAnsi"/>
              </w:rPr>
              <w:t>CLARA INÉS VARGAS HERNÁNDEZ</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 xml:space="preserve">ACTOR: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Pr>
                <w:rFonts w:asciiTheme="minorHAnsi" w:hAnsiTheme="minorHAnsi" w:cstheme="minorHAnsi"/>
              </w:rPr>
              <w:t>JOSÉ FELIX LAFAURIE RIVERA.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 xml:space="preserve">DEMANDADO: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tabs>
                <w:tab w:val="left" w:pos="2839"/>
              </w:tabs>
              <w:ind w:right="-362"/>
              <w:rPr>
                <w:rFonts w:asciiTheme="minorHAnsi" w:hAnsiTheme="minorHAnsi" w:cstheme="minorHAnsi"/>
              </w:rPr>
            </w:pPr>
            <w:r>
              <w:rPr>
                <w:rFonts w:asciiTheme="minorHAnsi" w:hAnsiTheme="minorHAnsi" w:cstheme="minorHAnsi"/>
              </w:rPr>
              <w:t>PROCURADURÍA GENERAL DE LA NACIÓN.</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highlight w:val="yellow"/>
              </w:rPr>
            </w:pPr>
            <w:r w:rsidRPr="00234F2D">
              <w:rPr>
                <w:rFonts w:asciiTheme="minorHAnsi" w:hAnsiTheme="minorHAnsi" w:cstheme="minorHAnsi"/>
                <w:b/>
              </w:rPr>
              <w:t>SENTIDO DEL FALLO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auto"/>
          </w:tcPr>
          <w:p w:rsidR="00B01620" w:rsidRPr="00234F2D" w:rsidRDefault="00B01620" w:rsidP="0071418F">
            <w:pPr>
              <w:rPr>
                <w:rFonts w:asciiTheme="minorHAnsi" w:hAnsiTheme="minorHAnsi" w:cstheme="minorHAnsi"/>
              </w:rPr>
            </w:pPr>
            <w:r w:rsidRPr="00234F2D">
              <w:rPr>
                <w:rFonts w:asciiTheme="minorHAnsi" w:hAnsiTheme="minorHAnsi" w:cstheme="minorHAnsi"/>
              </w:rPr>
              <w:t xml:space="preserve"> DESFAVORABLE.</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 xml:space="preserve">HECHOS RELEVANTES (los hechos que resultaron probados, no los narrados en la demanda, limitados al problema jurídico concreto que orienta la ficha): </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Default="00B01620" w:rsidP="0071418F">
            <w:pPr>
              <w:jc w:val="both"/>
              <w:rPr>
                <w:rFonts w:asciiTheme="minorHAnsi" w:hAnsiTheme="minorHAnsi" w:cstheme="minorHAnsi"/>
              </w:rPr>
            </w:pPr>
          </w:p>
          <w:p w:rsidR="00B01620" w:rsidRDefault="00685CAA" w:rsidP="007640CD">
            <w:pPr>
              <w:jc w:val="both"/>
              <w:rPr>
                <w:rFonts w:asciiTheme="minorHAnsi" w:hAnsiTheme="minorHAnsi" w:cstheme="minorHAnsi"/>
              </w:rPr>
            </w:pPr>
            <w:r>
              <w:rPr>
                <w:rFonts w:asciiTheme="minorHAnsi" w:hAnsiTheme="minorHAnsi" w:cstheme="minorHAnsi"/>
              </w:rPr>
              <w:t xml:space="preserve">La Procuraduría General de la Nación sancionó al </w:t>
            </w:r>
            <w:proofErr w:type="spellStart"/>
            <w:r>
              <w:rPr>
                <w:rFonts w:asciiTheme="minorHAnsi" w:hAnsiTheme="minorHAnsi" w:cstheme="minorHAnsi"/>
              </w:rPr>
              <w:t>Vicecontralor</w:t>
            </w:r>
            <w:proofErr w:type="spellEnd"/>
            <w:r>
              <w:rPr>
                <w:rFonts w:asciiTheme="minorHAnsi" w:hAnsiTheme="minorHAnsi" w:cstheme="minorHAnsi"/>
              </w:rPr>
              <w:t xml:space="preserve"> </w:t>
            </w:r>
            <w:r w:rsidR="007640CD">
              <w:rPr>
                <w:rFonts w:asciiTheme="minorHAnsi" w:hAnsiTheme="minorHAnsi" w:cstheme="minorHAnsi"/>
              </w:rPr>
              <w:t>General de la República, por las faltas disciplinarias del</w:t>
            </w:r>
            <w:r w:rsidR="007640CD" w:rsidRPr="007640CD">
              <w:rPr>
                <w:rFonts w:asciiTheme="minorHAnsi" w:hAnsiTheme="minorHAnsi" w:cstheme="minorHAnsi"/>
              </w:rPr>
              <w:t xml:space="preserve"> artículo 268</w:t>
            </w:r>
            <w:r w:rsidR="007640CD">
              <w:rPr>
                <w:rFonts w:asciiTheme="minorHAnsi" w:hAnsiTheme="minorHAnsi" w:cstheme="minorHAnsi"/>
              </w:rPr>
              <w:t xml:space="preserve">, numeral </w:t>
            </w:r>
            <w:r w:rsidR="007640CD" w:rsidRPr="007640CD">
              <w:rPr>
                <w:rFonts w:asciiTheme="minorHAnsi" w:hAnsiTheme="minorHAnsi" w:cstheme="minorHAnsi"/>
              </w:rPr>
              <w:t>10 de la Constitu</w:t>
            </w:r>
            <w:r w:rsidR="007640CD">
              <w:rPr>
                <w:rFonts w:asciiTheme="minorHAnsi" w:hAnsiTheme="minorHAnsi" w:cstheme="minorHAnsi"/>
              </w:rPr>
              <w:t>ción Política y 40 numerales 1,</w:t>
            </w:r>
            <w:r w:rsidR="007640CD" w:rsidRPr="007640CD">
              <w:rPr>
                <w:rFonts w:asciiTheme="minorHAnsi" w:hAnsiTheme="minorHAnsi" w:cstheme="minorHAnsi"/>
              </w:rPr>
              <w:t xml:space="preserve"> 19</w:t>
            </w:r>
            <w:r w:rsidR="007640CD">
              <w:rPr>
                <w:rFonts w:asciiTheme="minorHAnsi" w:hAnsiTheme="minorHAnsi" w:cstheme="minorHAnsi"/>
              </w:rPr>
              <w:t xml:space="preserve"> y del</w:t>
            </w:r>
            <w:r w:rsidR="007640CD" w:rsidRPr="007640CD">
              <w:rPr>
                <w:rFonts w:asciiTheme="minorHAnsi" w:hAnsiTheme="minorHAnsi" w:cstheme="minorHAnsi"/>
              </w:rPr>
              <w:t xml:space="preserve"> </w:t>
            </w:r>
            <w:r w:rsidR="007640CD">
              <w:rPr>
                <w:rFonts w:asciiTheme="minorHAnsi" w:hAnsiTheme="minorHAnsi" w:cstheme="minorHAnsi"/>
              </w:rPr>
              <w:t xml:space="preserve">artículo 50 </w:t>
            </w:r>
            <w:r w:rsidR="007640CD" w:rsidRPr="007640CD">
              <w:rPr>
                <w:rFonts w:asciiTheme="minorHAnsi" w:hAnsiTheme="minorHAnsi" w:cstheme="minorHAnsi"/>
              </w:rPr>
              <w:t>de la Ley 2</w:t>
            </w:r>
            <w:r w:rsidR="007640CD">
              <w:rPr>
                <w:rFonts w:asciiTheme="minorHAnsi" w:hAnsiTheme="minorHAnsi" w:cstheme="minorHAnsi"/>
              </w:rPr>
              <w:t>00 de 1995.</w:t>
            </w:r>
          </w:p>
          <w:p w:rsidR="008225A0" w:rsidRDefault="008225A0" w:rsidP="007640CD">
            <w:pPr>
              <w:jc w:val="both"/>
              <w:rPr>
                <w:rFonts w:asciiTheme="minorHAnsi" w:hAnsiTheme="minorHAnsi" w:cstheme="minorHAnsi"/>
              </w:rPr>
            </w:pPr>
          </w:p>
          <w:p w:rsidR="008225A0" w:rsidRDefault="008225A0" w:rsidP="007640CD">
            <w:pPr>
              <w:jc w:val="both"/>
              <w:rPr>
                <w:rFonts w:asciiTheme="minorHAnsi" w:hAnsiTheme="minorHAnsi" w:cstheme="minorHAnsi"/>
              </w:rPr>
            </w:pPr>
            <w:r w:rsidRPr="008225A0">
              <w:rPr>
                <w:rFonts w:asciiTheme="minorHAnsi" w:hAnsiTheme="minorHAnsi" w:cstheme="minorHAnsi"/>
              </w:rPr>
              <w:t>El demandante considera que se le vulnera</w:t>
            </w:r>
            <w:r>
              <w:rPr>
                <w:rFonts w:asciiTheme="minorHAnsi" w:hAnsiTheme="minorHAnsi" w:cstheme="minorHAnsi"/>
              </w:rPr>
              <w:t xml:space="preserve">ron sus derechos fundamentales </w:t>
            </w:r>
            <w:r w:rsidRPr="008225A0">
              <w:rPr>
                <w:rFonts w:asciiTheme="minorHAnsi" w:hAnsiTheme="minorHAnsi" w:cstheme="minorHAnsi"/>
              </w:rPr>
              <w:t>al debido proceso, a la igualdad, a la doble instancia y al buen nombre</w:t>
            </w:r>
            <w:r>
              <w:rPr>
                <w:rFonts w:asciiTheme="minorHAnsi" w:hAnsiTheme="minorHAnsi" w:cstheme="minorHAnsi"/>
              </w:rPr>
              <w:t>.</w:t>
            </w:r>
          </w:p>
          <w:p w:rsidR="008225A0" w:rsidRPr="00AF7B17" w:rsidRDefault="008225A0" w:rsidP="007640CD">
            <w:pPr>
              <w:jc w:val="both"/>
              <w:rPr>
                <w:rFonts w:asciiTheme="minorHAnsi" w:hAnsiTheme="minorHAnsi" w:cstheme="minorHAnsi"/>
              </w:rPr>
            </w:pP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PROBLEMA JURÍDICO DEL CASO CONCRETO (en concordancia con los hechos relevantes):</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8225A0">
            <w:pPr>
              <w:jc w:val="both"/>
              <w:rPr>
                <w:rFonts w:asciiTheme="minorHAnsi" w:hAnsiTheme="minorHAnsi" w:cstheme="minorHAnsi"/>
              </w:rPr>
            </w:pPr>
            <w:r>
              <w:rPr>
                <w:rFonts w:asciiTheme="minorHAnsi" w:hAnsiTheme="minorHAnsi" w:cstheme="minorHAnsi"/>
              </w:rPr>
              <w:t>¿Es p</w:t>
            </w:r>
            <w:r w:rsidRPr="00234F2D">
              <w:rPr>
                <w:rFonts w:asciiTheme="minorHAnsi" w:hAnsiTheme="minorHAnsi" w:cstheme="minorHAnsi"/>
              </w:rPr>
              <w:t>rocede</w:t>
            </w:r>
            <w:r>
              <w:rPr>
                <w:rFonts w:asciiTheme="minorHAnsi" w:hAnsiTheme="minorHAnsi" w:cstheme="minorHAnsi"/>
              </w:rPr>
              <w:t>nte</w:t>
            </w:r>
            <w:r w:rsidRPr="00234F2D">
              <w:rPr>
                <w:rFonts w:asciiTheme="minorHAnsi" w:hAnsiTheme="minorHAnsi" w:cstheme="minorHAnsi"/>
              </w:rPr>
              <w:t xml:space="preserve"> la acción de tutela </w:t>
            </w:r>
            <w:r w:rsidR="00344E6E">
              <w:rPr>
                <w:rFonts w:asciiTheme="minorHAnsi" w:hAnsiTheme="minorHAnsi" w:cstheme="minorHAnsi"/>
              </w:rPr>
              <w:t xml:space="preserve">para declarar la suspensión de los efectos </w:t>
            </w:r>
            <w:r>
              <w:rPr>
                <w:rFonts w:asciiTheme="minorHAnsi" w:hAnsiTheme="minorHAnsi" w:cstheme="minorHAnsi"/>
              </w:rPr>
              <w:t>del acto administrativo que sancion</w:t>
            </w:r>
            <w:r w:rsidR="008225A0">
              <w:rPr>
                <w:rFonts w:asciiTheme="minorHAnsi" w:hAnsiTheme="minorHAnsi" w:cstheme="minorHAnsi"/>
              </w:rPr>
              <w:t>ó</w:t>
            </w:r>
            <w:r w:rsidRPr="00234F2D">
              <w:rPr>
                <w:rFonts w:asciiTheme="minorHAnsi" w:hAnsiTheme="minorHAnsi" w:cstheme="minorHAnsi"/>
              </w:rPr>
              <w:t xml:space="preserve"> disciplinaria</w:t>
            </w:r>
            <w:r w:rsidR="00344E6E">
              <w:rPr>
                <w:rFonts w:asciiTheme="minorHAnsi" w:hAnsiTheme="minorHAnsi" w:cstheme="minorHAnsi"/>
              </w:rPr>
              <w:t xml:space="preserve">mente al </w:t>
            </w:r>
            <w:proofErr w:type="spellStart"/>
            <w:r w:rsidR="00344E6E">
              <w:rPr>
                <w:rFonts w:asciiTheme="minorHAnsi" w:hAnsiTheme="minorHAnsi" w:cstheme="minorHAnsi"/>
              </w:rPr>
              <w:t>Vicecontralor</w:t>
            </w:r>
            <w:proofErr w:type="spellEnd"/>
            <w:r w:rsidR="00344E6E">
              <w:rPr>
                <w:rFonts w:asciiTheme="minorHAnsi" w:hAnsiTheme="minorHAnsi" w:cstheme="minorHAnsi"/>
              </w:rPr>
              <w:t xml:space="preserve"> General de la República</w:t>
            </w:r>
            <w:r>
              <w:rPr>
                <w:rFonts w:asciiTheme="minorHAnsi" w:hAnsiTheme="minorHAnsi" w:cstheme="minorHAnsi"/>
              </w:rPr>
              <w:t>?</w:t>
            </w:r>
          </w:p>
        </w:tc>
      </w:tr>
      <w:tr w:rsidR="00B01620" w:rsidRPr="00234F2D" w:rsidTr="0071418F">
        <w:trPr>
          <w:trHeight w:val="344"/>
        </w:trPr>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ACTO DEMANDADO (si aplica, por ejemplo si se pide la nulidad de un acto administrativo):</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234F2D">
              <w:rPr>
                <w:rFonts w:asciiTheme="minorHAnsi" w:hAnsiTheme="minorHAnsi" w:cstheme="minorHAnsi"/>
              </w:rPr>
              <w:t>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FUNDAMENTO LEGAL DE LA DEMANDA (si aplica y en relación con el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B01620">
            <w:pPr>
              <w:ind w:right="34"/>
              <w:jc w:val="both"/>
              <w:rPr>
                <w:rFonts w:asciiTheme="minorHAnsi" w:hAnsiTheme="minorHAnsi" w:cstheme="minorHAnsi"/>
              </w:rPr>
            </w:pP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FUNDAMENTO LEGAL DE LA DEFENSA (si aplica y en relación con el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3C410C" w:rsidP="00812603">
            <w:pPr>
              <w:jc w:val="both"/>
              <w:rPr>
                <w:rFonts w:asciiTheme="minorHAnsi" w:hAnsiTheme="minorHAnsi" w:cstheme="minorHAnsi"/>
              </w:rPr>
            </w:pPr>
            <w:r>
              <w:rPr>
                <w:rFonts w:asciiTheme="minorHAnsi" w:hAnsiTheme="minorHAnsi" w:cstheme="minorHAnsi"/>
              </w:rPr>
              <w:t>A</w:t>
            </w:r>
            <w:r w:rsidRPr="003C410C">
              <w:rPr>
                <w:rFonts w:asciiTheme="minorHAnsi" w:hAnsiTheme="minorHAnsi" w:cstheme="minorHAnsi"/>
              </w:rPr>
              <w:t xml:space="preserve">rtículo 50 de la </w:t>
            </w:r>
            <w:r w:rsidR="00812603">
              <w:rPr>
                <w:rFonts w:asciiTheme="minorHAnsi" w:hAnsiTheme="minorHAnsi" w:cstheme="minorHAnsi"/>
              </w:rPr>
              <w:t>L</w:t>
            </w:r>
            <w:r w:rsidRPr="003C410C">
              <w:rPr>
                <w:rFonts w:asciiTheme="minorHAnsi" w:hAnsiTheme="minorHAnsi" w:cstheme="minorHAnsi"/>
              </w:rPr>
              <w:t>ey 200 de 1995</w:t>
            </w:r>
            <w:r>
              <w:rPr>
                <w:rFonts w:asciiTheme="minorHAnsi" w:hAnsiTheme="minorHAnsi" w:cstheme="minorHAnsi"/>
              </w:rPr>
              <w:t xml:space="preserve">, </w:t>
            </w:r>
            <w:r w:rsidR="00812603" w:rsidRPr="003C410C">
              <w:rPr>
                <w:rFonts w:asciiTheme="minorHAnsi" w:hAnsiTheme="minorHAnsi" w:cstheme="minorHAnsi"/>
              </w:rPr>
              <w:t>numerales 17 y 23</w:t>
            </w:r>
            <w:r w:rsidR="00812603">
              <w:rPr>
                <w:rFonts w:asciiTheme="minorHAnsi" w:hAnsiTheme="minorHAnsi" w:cstheme="minorHAnsi"/>
              </w:rPr>
              <w:t xml:space="preserve"> del </w:t>
            </w:r>
            <w:r w:rsidRPr="003C410C">
              <w:rPr>
                <w:rFonts w:asciiTheme="minorHAnsi" w:hAnsiTheme="minorHAnsi" w:cstheme="minorHAnsi"/>
              </w:rPr>
              <w:t xml:space="preserve">artículo 8 </w:t>
            </w:r>
            <w:r w:rsidR="00812603">
              <w:rPr>
                <w:rFonts w:asciiTheme="minorHAnsi" w:hAnsiTheme="minorHAnsi" w:cstheme="minorHAnsi"/>
              </w:rPr>
              <w:t>del D</w:t>
            </w:r>
            <w:r w:rsidRPr="003C410C">
              <w:rPr>
                <w:rFonts w:asciiTheme="minorHAnsi" w:hAnsiTheme="minorHAnsi" w:cstheme="minorHAnsi"/>
              </w:rPr>
              <w:t xml:space="preserve">ecreto 262 </w:t>
            </w:r>
            <w:r w:rsidR="00812603">
              <w:rPr>
                <w:rFonts w:asciiTheme="minorHAnsi" w:hAnsiTheme="minorHAnsi" w:cstheme="minorHAnsi"/>
              </w:rPr>
              <w:t>de 2000 y el artículo 81 de la L</w:t>
            </w:r>
            <w:r w:rsidRPr="003C410C">
              <w:rPr>
                <w:rFonts w:asciiTheme="minorHAnsi" w:hAnsiTheme="minorHAnsi" w:cstheme="minorHAnsi"/>
              </w:rPr>
              <w:t>ey 734 de 2002.</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rPr>
            </w:pPr>
            <w:r w:rsidRPr="00234F2D">
              <w:rPr>
                <w:rFonts w:asciiTheme="minorHAnsi" w:hAnsiTheme="minorHAnsi" w:cstheme="minorHAnsi"/>
                <w:b/>
              </w:rPr>
              <w:t>NORMATIVIDAD QUE APOYA LA DECISIÓN (si aplica y en relación con el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rPr>
            </w:pPr>
            <w:r w:rsidRPr="00234F2D">
              <w:rPr>
                <w:rFonts w:asciiTheme="minorHAnsi" w:hAnsiTheme="minorHAnsi" w:cstheme="minorHAnsi"/>
                <w:b/>
              </w:rPr>
              <w:t>JURISPRUDENCIA QUE APOYA LA DECISIÓN (si aplica y en relación con el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344E6E" w:rsidRDefault="00344E6E" w:rsidP="00344E6E">
            <w:pPr>
              <w:pStyle w:val="Lista2"/>
              <w:ind w:left="0" w:firstLine="0"/>
              <w:jc w:val="both"/>
              <w:rPr>
                <w:rFonts w:asciiTheme="minorHAnsi" w:eastAsia="MS Mincho" w:hAnsiTheme="minorHAnsi" w:cstheme="minorHAnsi"/>
                <w:szCs w:val="24"/>
                <w:lang w:val="es-CO" w:eastAsia="es-CO"/>
              </w:rPr>
            </w:pPr>
            <w:r>
              <w:rPr>
                <w:rFonts w:asciiTheme="minorHAnsi" w:hAnsiTheme="minorHAnsi" w:cstheme="minorHAnsi"/>
              </w:rPr>
              <w:t xml:space="preserve">T-262 DE 1998, T-215 DE 2000, T-743 DE 2002. </w:t>
            </w:r>
          </w:p>
          <w:p w:rsidR="00B01620" w:rsidRPr="00234F2D" w:rsidRDefault="00B01620" w:rsidP="00B01620">
            <w:pPr>
              <w:rPr>
                <w:rFonts w:asciiTheme="minorHAnsi" w:hAnsiTheme="minorHAnsi" w:cstheme="minorHAnsi"/>
              </w:rPr>
            </w:pP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rPr>
            </w:pPr>
            <w:r w:rsidRPr="00234F2D">
              <w:rPr>
                <w:rFonts w:asciiTheme="minorHAnsi" w:hAnsiTheme="minorHAnsi" w:cstheme="minorHAnsi"/>
                <w:b/>
              </w:rPr>
              <w:t>TESIS JURÍDICA (es el resumen del extracto y debe dar respuesta al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D240E4" w:rsidRDefault="00D240E4" w:rsidP="00344E6E">
            <w:pPr>
              <w:pStyle w:val="Lista2"/>
              <w:ind w:left="0" w:firstLine="0"/>
              <w:jc w:val="both"/>
              <w:rPr>
                <w:rFonts w:asciiTheme="minorHAnsi" w:eastAsia="MS Mincho" w:hAnsiTheme="minorHAnsi" w:cstheme="minorHAnsi"/>
                <w:szCs w:val="24"/>
                <w:lang w:val="es-CO" w:eastAsia="es-CO"/>
              </w:rPr>
            </w:pPr>
            <w:r>
              <w:rPr>
                <w:rFonts w:asciiTheme="minorHAnsi" w:eastAsia="MS Mincho" w:hAnsiTheme="minorHAnsi" w:cstheme="minorHAnsi"/>
                <w:szCs w:val="24"/>
                <w:lang w:val="es-CO" w:eastAsia="es-CO"/>
              </w:rPr>
              <w:t xml:space="preserve"> </w:t>
            </w:r>
          </w:p>
          <w:p w:rsidR="008225A0" w:rsidRDefault="008225A0" w:rsidP="008225A0">
            <w:pPr>
              <w:pStyle w:val="Lista2"/>
              <w:ind w:left="0" w:firstLine="0"/>
              <w:jc w:val="both"/>
              <w:rPr>
                <w:rFonts w:asciiTheme="minorHAnsi" w:eastAsia="MS Mincho" w:hAnsiTheme="minorHAnsi" w:cstheme="minorHAnsi"/>
                <w:szCs w:val="24"/>
                <w:lang w:val="es-CO" w:eastAsia="es-CO"/>
              </w:rPr>
            </w:pPr>
            <w:r>
              <w:rPr>
                <w:rFonts w:asciiTheme="minorHAnsi" w:eastAsia="MS Mincho" w:hAnsiTheme="minorHAnsi" w:cstheme="minorHAnsi"/>
                <w:szCs w:val="24"/>
                <w:lang w:val="es-CO" w:eastAsia="es-CO"/>
              </w:rPr>
              <w:t>Según la jurisprudencia de la Corte Constitucional,  la acción de tutela no es procedente para declarar la suspensión de los efectos de los actos administrativos sancionatorios proferidos por la Procuraduría General de la Nación en materia disciplinaria, ya que este mecanismo procede únicamente cuando: (i) el perjuicio es inminente, (ii) las medidas que se requieren para conjurar el perjuicio son urgentes, (iii) el daño o menoscabo es grave, porque es imposible retornar la situación a su estado anterior, (iv) la urgencia y la gravedad determinan que la acción de tutela es impostergable, y, (v)  no existan otros mecanismos de defensa judicial para proteger los derechos fundamentales del sancionado.</w:t>
            </w:r>
          </w:p>
          <w:p w:rsidR="008225A0" w:rsidRDefault="008225A0" w:rsidP="008225A0">
            <w:pPr>
              <w:pStyle w:val="Lista2"/>
              <w:ind w:left="0" w:firstLine="0"/>
              <w:jc w:val="both"/>
              <w:rPr>
                <w:rFonts w:asciiTheme="minorHAnsi" w:eastAsia="MS Mincho" w:hAnsiTheme="minorHAnsi" w:cstheme="minorHAnsi"/>
                <w:szCs w:val="24"/>
                <w:lang w:val="es-CO" w:eastAsia="es-CO"/>
              </w:rPr>
            </w:pPr>
          </w:p>
          <w:p w:rsidR="008225A0" w:rsidRDefault="008225A0" w:rsidP="008225A0">
            <w:pPr>
              <w:pStyle w:val="Lista2"/>
              <w:ind w:left="0" w:firstLine="0"/>
              <w:jc w:val="both"/>
              <w:rPr>
                <w:rFonts w:asciiTheme="minorHAnsi" w:eastAsia="MS Mincho" w:hAnsiTheme="minorHAnsi" w:cstheme="minorHAnsi"/>
                <w:szCs w:val="24"/>
                <w:lang w:val="es-CO" w:eastAsia="es-CO"/>
              </w:rPr>
            </w:pPr>
            <w:r>
              <w:rPr>
                <w:rFonts w:asciiTheme="minorHAnsi" w:eastAsia="MS Mincho" w:hAnsiTheme="minorHAnsi" w:cstheme="minorHAnsi"/>
                <w:szCs w:val="24"/>
                <w:lang w:val="es-CO" w:eastAsia="es-CO"/>
              </w:rPr>
              <w:t>En el caso objeto de este análisis, la Corte Constitucional resolvió que la acción de tutela era improcedente, por cuanto: (i)</w:t>
            </w:r>
            <w:r>
              <w:rPr>
                <w:rFonts w:asciiTheme="minorHAnsi" w:eastAsia="MS Mincho" w:hAnsiTheme="minorHAnsi" w:cstheme="minorHAnsi"/>
                <w:szCs w:val="24"/>
                <w:lang w:val="es-CO" w:eastAsia="es-CO"/>
              </w:rPr>
              <w:t xml:space="preserve"> </w:t>
            </w:r>
            <w:r>
              <w:rPr>
                <w:rFonts w:asciiTheme="minorHAnsi" w:eastAsia="MS Mincho" w:hAnsiTheme="minorHAnsi" w:cstheme="minorHAnsi"/>
                <w:szCs w:val="24"/>
                <w:lang w:val="es-CO" w:eastAsia="es-CO"/>
              </w:rPr>
              <w:t>existen mecanismos eficaces de defensa judicial para resolver la afectación de sus derechos y (ii)  no se observó un perjuicio irremediable.</w:t>
            </w:r>
          </w:p>
          <w:p w:rsidR="00D240E4" w:rsidRPr="00234F2D" w:rsidRDefault="00D240E4" w:rsidP="00344E6E">
            <w:pPr>
              <w:pStyle w:val="Lista2"/>
              <w:ind w:left="0" w:firstLine="0"/>
              <w:jc w:val="both"/>
              <w:rPr>
                <w:rFonts w:asciiTheme="minorHAnsi" w:eastAsia="MS Mincho" w:hAnsiTheme="minorHAnsi" w:cstheme="minorHAnsi"/>
                <w:szCs w:val="24"/>
                <w:lang w:val="es-CO" w:eastAsia="es-CO"/>
              </w:rPr>
            </w:pP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EXTRACTO (se cita textualmente el aparte de la providencia analizada que da respuesta al problema jurídico concreto que orienta la ficha, sin comentarios o anotaciones personales, sin pies de página):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Default="00B311CC" w:rsidP="0071418F">
            <w:pPr>
              <w:ind w:right="335"/>
              <w:jc w:val="both"/>
              <w:rPr>
                <w:rFonts w:asciiTheme="minorHAnsi" w:hAnsiTheme="minorHAnsi" w:cstheme="minorHAnsi"/>
                <w:i/>
              </w:rPr>
            </w:pPr>
            <w:r>
              <w:rPr>
                <w:rFonts w:asciiTheme="minorHAnsi" w:hAnsiTheme="minorHAnsi" w:cstheme="minorHAnsi"/>
                <w:i/>
              </w:rPr>
              <w:t>(…)</w:t>
            </w:r>
          </w:p>
          <w:p w:rsidR="00B311CC" w:rsidRDefault="00B311CC" w:rsidP="0071418F">
            <w:pPr>
              <w:ind w:right="335"/>
              <w:jc w:val="both"/>
              <w:rPr>
                <w:rFonts w:asciiTheme="minorHAnsi" w:hAnsiTheme="minorHAnsi" w:cstheme="minorHAnsi"/>
                <w:i/>
              </w:rPr>
            </w:pPr>
          </w:p>
          <w:p w:rsidR="00B311CC" w:rsidRPr="00B311CC" w:rsidRDefault="00B311CC" w:rsidP="00B311CC">
            <w:pPr>
              <w:ind w:right="335"/>
              <w:jc w:val="both"/>
              <w:rPr>
                <w:rFonts w:asciiTheme="minorHAnsi" w:hAnsiTheme="minorHAnsi" w:cstheme="minorHAnsi"/>
                <w:i/>
              </w:rPr>
            </w:pPr>
            <w:r>
              <w:rPr>
                <w:rFonts w:asciiTheme="minorHAnsi" w:hAnsiTheme="minorHAnsi" w:cstheme="minorHAnsi"/>
                <w:i/>
              </w:rPr>
              <w:t>“</w:t>
            </w:r>
            <w:r w:rsidRPr="00B311CC">
              <w:rPr>
                <w:rFonts w:asciiTheme="minorHAnsi" w:hAnsiTheme="minorHAnsi" w:cstheme="minorHAnsi"/>
                <w:i/>
              </w:rPr>
              <w:t>La procedencia de la acción de tutela en estos casos, ha sido precisada por la jurisprudencia de esta Corporación, de la siguiente manera:</w:t>
            </w:r>
          </w:p>
          <w:p w:rsidR="00B311CC" w:rsidRPr="00B311CC" w:rsidRDefault="00B311CC" w:rsidP="00B311CC">
            <w:pPr>
              <w:ind w:right="335"/>
              <w:jc w:val="both"/>
              <w:rPr>
                <w:rFonts w:asciiTheme="minorHAnsi" w:hAnsiTheme="minorHAnsi" w:cstheme="minorHAnsi"/>
                <w:i/>
              </w:rPr>
            </w:pPr>
          </w:p>
          <w:p w:rsidR="00B311CC" w:rsidRPr="00B311CC" w:rsidRDefault="00B311CC" w:rsidP="00B311CC">
            <w:pPr>
              <w:ind w:right="335"/>
              <w:jc w:val="both"/>
              <w:rPr>
                <w:rFonts w:asciiTheme="minorHAnsi" w:hAnsiTheme="minorHAnsi" w:cstheme="minorHAnsi"/>
                <w:i/>
              </w:rPr>
            </w:pPr>
            <w:r w:rsidRPr="00B311CC">
              <w:rPr>
                <w:rFonts w:asciiTheme="minorHAnsi" w:hAnsiTheme="minorHAnsi" w:cstheme="minorHAnsi"/>
                <w:i/>
              </w:rPr>
              <w:t>(1</w:t>
            </w:r>
            <w:r>
              <w:rPr>
                <w:rFonts w:asciiTheme="minorHAnsi" w:hAnsiTheme="minorHAnsi" w:cstheme="minorHAnsi"/>
                <w:i/>
              </w:rPr>
              <w:t xml:space="preserve">) </w:t>
            </w:r>
            <w:r w:rsidRPr="00B311CC">
              <w:rPr>
                <w:rFonts w:asciiTheme="minorHAnsi" w:hAnsiTheme="minorHAnsi" w:cstheme="minorHAnsi"/>
                <w:i/>
              </w:rPr>
              <w:t>el perjuicio es inminente, es decir, que se producirá indefectiblemente si no opera la protección judicial transitoria; (2) las medidas que se requieren para conjurar el perjuicio deben ser urgentes; (3) el daño o menoscabo debe ser grave, esto es, que una vez que aquel se haya producido es imposible retornar la situación a su estado anterior; y, (4) la urgencia y la gravedad determinan que la acción de tutela sea impostergable”</w:t>
            </w:r>
          </w:p>
          <w:p w:rsidR="00B311CC" w:rsidRPr="00B311CC" w:rsidRDefault="00B311CC" w:rsidP="00B311CC"/>
          <w:p w:rsidR="00B311CC" w:rsidRDefault="00B311CC" w:rsidP="00B311CC">
            <w:pPr>
              <w:ind w:right="335"/>
              <w:jc w:val="both"/>
              <w:rPr>
                <w:rFonts w:asciiTheme="minorHAnsi" w:hAnsiTheme="minorHAnsi" w:cstheme="minorHAnsi"/>
                <w:i/>
              </w:rPr>
            </w:pPr>
            <w:r w:rsidRPr="00B311CC">
              <w:rPr>
                <w:rFonts w:asciiTheme="minorHAnsi" w:hAnsiTheme="minorHAnsi" w:cstheme="minorHAnsi"/>
                <w:i/>
              </w:rPr>
              <w:t>“</w:t>
            </w:r>
            <w:r>
              <w:rPr>
                <w:rFonts w:asciiTheme="minorHAnsi" w:hAnsiTheme="minorHAnsi" w:cstheme="minorHAnsi"/>
                <w:i/>
              </w:rPr>
              <w:t xml:space="preserve">La </w:t>
            </w:r>
            <w:r w:rsidRPr="00B311CC">
              <w:rPr>
                <w:rFonts w:asciiTheme="minorHAnsi" w:hAnsiTheme="minorHAnsi" w:cstheme="minorHAnsi"/>
                <w:i/>
              </w:rPr>
              <w:t>tutela no está consagrada para suplantar los mecanismos judiciales ordinarios con los que cuenta el actor para la defensa de sus derechos, y entendido que no existe de por medio perjuicio irremediable e inminente que tornen en urgente y transitorio la procedencia</w:t>
            </w:r>
            <w:r>
              <w:rPr>
                <w:rFonts w:asciiTheme="minorHAnsi" w:hAnsiTheme="minorHAnsi" w:cstheme="minorHAnsi"/>
                <w:i/>
              </w:rPr>
              <w:t xml:space="preserve"> de este amparo excepcional”</w:t>
            </w:r>
          </w:p>
          <w:p w:rsidR="00B311CC" w:rsidRDefault="00B311CC" w:rsidP="0071418F">
            <w:pPr>
              <w:ind w:right="335"/>
              <w:jc w:val="both"/>
              <w:rPr>
                <w:rFonts w:asciiTheme="minorHAnsi" w:hAnsiTheme="minorHAnsi" w:cstheme="minorHAnsi"/>
                <w:i/>
              </w:rPr>
            </w:pPr>
          </w:p>
          <w:p w:rsidR="00B311CC" w:rsidRDefault="00B311CC" w:rsidP="0071418F">
            <w:pPr>
              <w:ind w:right="335"/>
              <w:jc w:val="both"/>
              <w:rPr>
                <w:rFonts w:asciiTheme="minorHAnsi" w:hAnsiTheme="minorHAnsi" w:cstheme="minorHAnsi"/>
                <w:i/>
              </w:rPr>
            </w:pPr>
            <w:r>
              <w:rPr>
                <w:rFonts w:asciiTheme="minorHAnsi" w:hAnsiTheme="minorHAnsi" w:cstheme="minorHAnsi"/>
                <w:i/>
              </w:rPr>
              <w:t xml:space="preserve">“(…) </w:t>
            </w:r>
            <w:r w:rsidRPr="00B311CC">
              <w:rPr>
                <w:rFonts w:asciiTheme="minorHAnsi" w:hAnsiTheme="minorHAnsi" w:cstheme="minorHAnsi"/>
                <w:i/>
              </w:rPr>
              <w:t xml:space="preserve">las sanciones disciplinarias no pueden considerarse un perjuicio irremediable. Lo anterior por cuanto, tal y como ya ha sido precisado, aceptar esa hipótesis implicaría que cualquier sanción disciplinaria puede ser controvertida por medio de la acción de tutela, de forma tal que el juez de tutela terminaría despojando a la jurisdicción contencioso administrativa, de sus funciones de revisar los actos administrativos de orden disciplinario. </w:t>
            </w:r>
            <w:r w:rsidRPr="00B311CC">
              <w:rPr>
                <w:rFonts w:asciiTheme="minorHAnsi" w:hAnsiTheme="minorHAnsi" w:cstheme="minorHAnsi"/>
                <w:i/>
              </w:rPr>
              <w:lastRenderedPageBreak/>
              <w:t>Sólo procedería excepcionalmente, si puede probarse que el actor se enfrenta a un perjuicio de carácter irremediable.</w:t>
            </w:r>
            <w:r>
              <w:rPr>
                <w:rFonts w:asciiTheme="minorHAnsi" w:hAnsiTheme="minorHAnsi" w:cstheme="minorHAnsi"/>
                <w:i/>
              </w:rPr>
              <w:t>”</w:t>
            </w:r>
          </w:p>
          <w:p w:rsidR="00B311CC" w:rsidRPr="00B311CC" w:rsidRDefault="00B311CC" w:rsidP="0071418F">
            <w:pPr>
              <w:ind w:right="335"/>
              <w:jc w:val="both"/>
              <w:rPr>
                <w:rFonts w:asciiTheme="minorHAnsi" w:hAnsiTheme="minorHAnsi" w:cstheme="minorHAnsi"/>
                <w:i/>
              </w:rPr>
            </w:pP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rPr>
            </w:pPr>
            <w:r w:rsidRPr="00234F2D">
              <w:rPr>
                <w:rFonts w:asciiTheme="minorHAnsi" w:hAnsiTheme="minorHAnsi" w:cstheme="minorHAnsi"/>
                <w:b/>
              </w:rPr>
              <w:lastRenderedPageBreak/>
              <w:t>SALVAMENTO DE VOTO (si aplica*, se identifica al magistrado que salvó y la votación):</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234F2D">
              <w:rPr>
                <w:rFonts w:asciiTheme="minorHAnsi" w:hAnsiTheme="minorHAnsi" w:cstheme="minorHAnsi"/>
              </w:rPr>
              <w:t>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*TESIS JURÍDICA DEL SALVAMENTO (es el resumen del extracto del salvamento y debe guardar coherencia con el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234F2D">
              <w:rPr>
                <w:rFonts w:asciiTheme="minorHAnsi" w:hAnsiTheme="minorHAnsi" w:cstheme="minorHAnsi"/>
              </w:rPr>
              <w:t>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*EXTRACTO DEL SALVAMENTO (se cita textualmente el aparte del salvamento que cuestiona o se aparta de la solución jurídica dada por la providencia problema jurídico concreto que orienta la ficha, sin comentarios o anotaciones personales):</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ind w:right="335"/>
              <w:jc w:val="both"/>
              <w:rPr>
                <w:rFonts w:asciiTheme="minorHAnsi" w:hAnsiTheme="minorHAnsi" w:cstheme="minorHAnsi"/>
              </w:rPr>
            </w:pPr>
            <w:r w:rsidRPr="00234F2D">
              <w:rPr>
                <w:rFonts w:asciiTheme="minorHAnsi" w:hAnsiTheme="minorHAnsi" w:cstheme="minorHAnsi"/>
                <w:i/>
              </w:rPr>
              <w:t>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ACLARACIÓN DE VOTO (si aplica** se identifica al magistrado que aclaró y la votación):</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rPr>
                <w:rFonts w:asciiTheme="minorHAnsi" w:hAnsiTheme="minorHAnsi" w:cstheme="minorHAnsi"/>
              </w:rPr>
            </w:pPr>
            <w:r w:rsidRPr="00234F2D">
              <w:rPr>
                <w:rFonts w:asciiTheme="minorHAnsi" w:hAnsiTheme="minorHAnsi" w:cstheme="minorHAnsi"/>
              </w:rPr>
              <w:t>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**TESIS JURÍDICA DE LA ACLARACIÓN (es el resumen del extracto de la aclaración y debe guardar coherencia con el problema jurídico concreto que orienta la ficha):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jc w:val="both"/>
              <w:rPr>
                <w:rFonts w:asciiTheme="minorHAnsi" w:hAnsiTheme="minorHAnsi" w:cstheme="minorHAnsi"/>
              </w:rPr>
            </w:pPr>
            <w:r w:rsidRPr="00234F2D">
              <w:rPr>
                <w:rFonts w:asciiTheme="minorHAnsi" w:hAnsiTheme="minorHAnsi" w:cstheme="minorHAnsi"/>
              </w:rPr>
              <w:t>N/A</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1620" w:rsidRPr="00234F2D" w:rsidRDefault="00B01620" w:rsidP="0071418F">
            <w:pPr>
              <w:rPr>
                <w:rFonts w:asciiTheme="minorHAnsi" w:hAnsiTheme="minorHAnsi" w:cstheme="minorHAnsi"/>
                <w:b/>
              </w:rPr>
            </w:pPr>
            <w:r w:rsidRPr="00234F2D">
              <w:rPr>
                <w:rFonts w:asciiTheme="minorHAnsi" w:hAnsiTheme="minorHAnsi" w:cstheme="minorHAnsi"/>
                <w:b/>
              </w:rPr>
              <w:t>**EXTRACTO DE LA ACLARACIÓN (se cita textualmente el aparte del salvamento que cuestiona o se aparta de la solución jurídica dada por la providencia problema jurídico concreto que orienta la ficha, sin comentarios o anotaciones personales):</w:t>
            </w:r>
          </w:p>
        </w:tc>
      </w:tr>
      <w:tr w:rsidR="00B01620" w:rsidRPr="00234F2D" w:rsidTr="0071418F">
        <w:tc>
          <w:tcPr>
            <w:tcW w:w="9468" w:type="dxa"/>
            <w:tcBorders>
              <w:top w:val="single" w:sz="4" w:space="0" w:color="auto"/>
              <w:left w:val="single" w:sz="4" w:space="0" w:color="auto"/>
              <w:bottom w:val="single" w:sz="4" w:space="0" w:color="auto"/>
              <w:right w:val="single" w:sz="4" w:space="0" w:color="auto"/>
            </w:tcBorders>
            <w:shd w:val="clear" w:color="auto" w:fill="FFFFFF" w:themeFill="background1"/>
          </w:tcPr>
          <w:p w:rsidR="00B01620" w:rsidRPr="00234F2D" w:rsidRDefault="00B01620" w:rsidP="0071418F">
            <w:pPr>
              <w:tabs>
                <w:tab w:val="left" w:pos="3170"/>
              </w:tabs>
              <w:overflowPunct w:val="0"/>
              <w:autoSpaceDE w:val="0"/>
              <w:autoSpaceDN w:val="0"/>
              <w:adjustRightInd w:val="0"/>
              <w:jc w:val="both"/>
              <w:textAlignment w:val="baseline"/>
              <w:rPr>
                <w:rFonts w:asciiTheme="minorHAnsi" w:hAnsiTheme="minorHAnsi" w:cstheme="minorHAnsi"/>
              </w:rPr>
            </w:pPr>
            <w:r w:rsidRPr="00234F2D">
              <w:rPr>
                <w:rFonts w:asciiTheme="minorHAnsi" w:hAnsiTheme="minorHAnsi" w:cstheme="minorHAnsi"/>
              </w:rPr>
              <w:t xml:space="preserve"> N/A</w:t>
            </w:r>
          </w:p>
          <w:p w:rsidR="00B01620" w:rsidRPr="00234F2D" w:rsidRDefault="00B01620" w:rsidP="0071418F">
            <w:pPr>
              <w:jc w:val="both"/>
              <w:rPr>
                <w:rFonts w:asciiTheme="minorHAnsi" w:hAnsiTheme="minorHAnsi" w:cstheme="minorHAnsi"/>
              </w:rPr>
            </w:pPr>
          </w:p>
        </w:tc>
      </w:tr>
    </w:tbl>
    <w:p w:rsidR="00B01620" w:rsidRPr="00234F2D" w:rsidRDefault="00B01620" w:rsidP="00B01620">
      <w:pPr>
        <w:rPr>
          <w:rFonts w:asciiTheme="minorHAnsi" w:hAnsiTheme="minorHAnsi" w:cstheme="minorHAnsi"/>
          <w:b/>
        </w:rPr>
      </w:pPr>
    </w:p>
    <w:p w:rsidR="00B01620" w:rsidRPr="00234F2D" w:rsidRDefault="00B01620" w:rsidP="00B01620">
      <w:pPr>
        <w:rPr>
          <w:rFonts w:asciiTheme="minorHAnsi" w:hAnsiTheme="minorHAnsi" w:cstheme="minorHAnsi"/>
        </w:rPr>
      </w:pPr>
    </w:p>
    <w:tbl>
      <w:tblPr>
        <w:tblStyle w:val="Tablaconcuadrcula"/>
        <w:tblW w:w="0" w:type="auto"/>
        <w:tblInd w:w="846" w:type="dxa"/>
        <w:tblLook w:val="04A0" w:firstRow="1" w:lastRow="0" w:firstColumn="1" w:lastColumn="0" w:noHBand="0" w:noVBand="1"/>
      </w:tblPr>
      <w:tblGrid>
        <w:gridCol w:w="1271"/>
        <w:gridCol w:w="7943"/>
      </w:tblGrid>
      <w:tr w:rsidR="00B01620" w:rsidRPr="00234F2D" w:rsidTr="0071418F">
        <w:tc>
          <w:tcPr>
            <w:tcW w:w="1271" w:type="dxa"/>
            <w:shd w:val="clear" w:color="auto" w:fill="BFBFBF" w:themeFill="background1" w:themeFillShade="BF"/>
            <w:vAlign w:val="center"/>
          </w:tcPr>
          <w:p w:rsidR="00B01620" w:rsidRPr="00234F2D" w:rsidRDefault="00B01620" w:rsidP="0071418F">
            <w:pPr>
              <w:jc w:val="center"/>
              <w:rPr>
                <w:rFonts w:asciiTheme="minorHAnsi" w:hAnsiTheme="minorHAnsi" w:cstheme="minorHAnsi"/>
              </w:rPr>
            </w:pPr>
            <w:r w:rsidRPr="00234F2D">
              <w:rPr>
                <w:rFonts w:asciiTheme="minorHAnsi" w:hAnsiTheme="minorHAnsi" w:cstheme="minorHAnsi"/>
                <w:b/>
              </w:rPr>
              <w:t>Elaboró:</w:t>
            </w:r>
          </w:p>
        </w:tc>
        <w:tc>
          <w:tcPr>
            <w:tcW w:w="7943" w:type="dxa"/>
            <w:shd w:val="clear" w:color="auto" w:fill="F2F2F2" w:themeFill="background1" w:themeFillShade="F2"/>
          </w:tcPr>
          <w:p w:rsidR="00B01620" w:rsidRPr="00234F2D" w:rsidRDefault="00B01620" w:rsidP="0071418F">
            <w:pPr>
              <w:tabs>
                <w:tab w:val="center" w:pos="3863"/>
              </w:tabs>
              <w:rPr>
                <w:rFonts w:asciiTheme="minorHAnsi" w:hAnsiTheme="minorHAnsi" w:cstheme="minorHAnsi"/>
              </w:rPr>
            </w:pPr>
            <w:r>
              <w:rPr>
                <w:rFonts w:asciiTheme="minorHAnsi" w:hAnsiTheme="minorHAnsi" w:cstheme="minorHAnsi"/>
              </w:rPr>
              <w:t>Valeria Borda Naranjo.</w:t>
            </w:r>
          </w:p>
        </w:tc>
      </w:tr>
      <w:tr w:rsidR="00B01620" w:rsidRPr="00234F2D" w:rsidTr="0071418F">
        <w:tc>
          <w:tcPr>
            <w:tcW w:w="1271" w:type="dxa"/>
            <w:shd w:val="clear" w:color="auto" w:fill="BFBFBF" w:themeFill="background1" w:themeFillShade="BF"/>
            <w:vAlign w:val="center"/>
          </w:tcPr>
          <w:p w:rsidR="00B01620" w:rsidRPr="00234F2D" w:rsidRDefault="00B01620" w:rsidP="0071418F">
            <w:pPr>
              <w:jc w:val="center"/>
              <w:rPr>
                <w:rFonts w:asciiTheme="minorHAnsi" w:hAnsiTheme="minorHAnsi" w:cstheme="minorHAnsi"/>
                <w:b/>
              </w:rPr>
            </w:pPr>
            <w:r w:rsidRPr="00234F2D">
              <w:rPr>
                <w:rFonts w:asciiTheme="minorHAnsi" w:hAnsiTheme="minorHAnsi" w:cstheme="minorHAnsi"/>
                <w:b/>
              </w:rPr>
              <w:t>Revisó y aprobó:</w:t>
            </w:r>
          </w:p>
        </w:tc>
        <w:tc>
          <w:tcPr>
            <w:tcW w:w="7943" w:type="dxa"/>
            <w:shd w:val="clear" w:color="auto" w:fill="F2F2F2" w:themeFill="background1" w:themeFillShade="F2"/>
          </w:tcPr>
          <w:p w:rsidR="00B01620" w:rsidRPr="00234F2D" w:rsidRDefault="008225A0" w:rsidP="0071418F">
            <w:pPr>
              <w:rPr>
                <w:rFonts w:asciiTheme="minorHAnsi" w:hAnsiTheme="minorHAnsi" w:cstheme="minorHAnsi"/>
              </w:rPr>
            </w:pPr>
            <w:r w:rsidRPr="008225A0">
              <w:rPr>
                <w:rFonts w:asciiTheme="minorHAnsi" w:hAnsiTheme="minorHAnsi" w:cstheme="minorHAnsi"/>
              </w:rPr>
              <w:t>Sandra Lucia Barriga Moreno</w:t>
            </w:r>
            <w:bookmarkStart w:id="0" w:name="_GoBack"/>
            <w:bookmarkEnd w:id="0"/>
          </w:p>
        </w:tc>
      </w:tr>
    </w:tbl>
    <w:p w:rsidR="00B01620" w:rsidRPr="00234F2D" w:rsidRDefault="00B01620" w:rsidP="00B01620">
      <w:pPr>
        <w:rPr>
          <w:rFonts w:asciiTheme="minorHAnsi" w:hAnsiTheme="minorHAnsi" w:cstheme="minorHAnsi"/>
        </w:rPr>
      </w:pPr>
    </w:p>
    <w:p w:rsidR="00B01620" w:rsidRPr="00234F2D" w:rsidRDefault="00B01620" w:rsidP="00B01620">
      <w:pPr>
        <w:rPr>
          <w:rFonts w:asciiTheme="minorHAnsi" w:hAnsiTheme="minorHAnsi" w:cstheme="minorHAnsi"/>
        </w:rPr>
      </w:pPr>
    </w:p>
    <w:p w:rsidR="000019F8" w:rsidRDefault="000019F8"/>
    <w:sectPr w:rsidR="000019F8" w:rsidSect="00A163FF">
      <w:headerReference w:type="default" r:id="rId8"/>
      <w:footerReference w:type="default" r:id="rId9"/>
      <w:pgSz w:w="12240" w:h="15840" w:code="1"/>
      <w:pgMar w:top="720" w:right="720" w:bottom="720" w:left="72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CF" w:rsidRDefault="00C258CF">
      <w:r>
        <w:separator/>
      </w:r>
    </w:p>
  </w:endnote>
  <w:endnote w:type="continuationSeparator" w:id="0">
    <w:p w:rsidR="00C258CF" w:rsidRDefault="00C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18" w:rsidRDefault="00C258CF">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E6018" w:rsidRPr="00D95B03" w:rsidTr="00D95B03">
      <w:tc>
        <w:tcPr>
          <w:tcW w:w="3596" w:type="dxa"/>
          <w:vAlign w:val="center"/>
        </w:tcPr>
        <w:p w:rsidR="006E6018" w:rsidRPr="00D95B03" w:rsidRDefault="00016192" w:rsidP="00D95B03">
          <w:pPr>
            <w:pStyle w:val="Piedepgina"/>
            <w:jc w:val="center"/>
            <w:rPr>
              <w:rFonts w:asciiTheme="majorHAnsi" w:hAnsiTheme="majorHAnsi"/>
              <w:sz w:val="18"/>
              <w:szCs w:val="16"/>
            </w:rPr>
          </w:pPr>
          <w:r w:rsidRPr="00D95B03">
            <w:rPr>
              <w:rFonts w:asciiTheme="majorHAnsi" w:hAnsiTheme="majorHAnsi"/>
              <w:sz w:val="18"/>
            </w:rPr>
            <w:t xml:space="preserve">Código: </w:t>
          </w:r>
          <w:r>
            <w:rPr>
              <w:rFonts w:asciiTheme="majorHAnsi" w:hAnsiTheme="majorHAnsi"/>
              <w:color w:val="000000"/>
              <w:sz w:val="18"/>
            </w:rPr>
            <w:t>GP-F-01 V-0</w:t>
          </w:r>
        </w:p>
      </w:tc>
      <w:tc>
        <w:tcPr>
          <w:tcW w:w="3597" w:type="dxa"/>
          <w:vAlign w:val="center"/>
        </w:tcPr>
        <w:p w:rsidR="006E6018" w:rsidRPr="00D95B03" w:rsidRDefault="00C258CF" w:rsidP="00D95B03">
          <w:pPr>
            <w:pStyle w:val="Piedepgina"/>
            <w:jc w:val="center"/>
            <w:rPr>
              <w:rFonts w:asciiTheme="majorHAnsi" w:hAnsiTheme="majorHAnsi"/>
              <w:sz w:val="18"/>
              <w:szCs w:val="16"/>
            </w:rPr>
          </w:pPr>
        </w:p>
      </w:tc>
      <w:tc>
        <w:tcPr>
          <w:tcW w:w="3597" w:type="dxa"/>
          <w:vAlign w:val="center"/>
        </w:tcPr>
        <w:sdt>
          <w:sdtPr>
            <w:rPr>
              <w:rFonts w:asciiTheme="majorHAnsi" w:hAnsiTheme="majorHAnsi"/>
              <w:sz w:val="18"/>
              <w:lang w:val="es-ES"/>
            </w:rPr>
            <w:id w:val="-995869099"/>
            <w:docPartObj>
              <w:docPartGallery w:val="Page Numbers (Top of Page)"/>
              <w:docPartUnique/>
            </w:docPartObj>
          </w:sdtPr>
          <w:sdtEndPr/>
          <w:sdtContent>
            <w:p w:rsidR="006E6018" w:rsidRPr="00D95B03" w:rsidRDefault="00016192" w:rsidP="00D95B03">
              <w:pPr>
                <w:jc w:val="center"/>
                <w:rPr>
                  <w:rFonts w:asciiTheme="majorHAnsi" w:hAnsiTheme="majorHAnsi"/>
                  <w:sz w:val="18"/>
                  <w:lang w:val="es-ES"/>
                </w:rPr>
              </w:pPr>
              <w:r w:rsidRPr="00D95B03">
                <w:rPr>
                  <w:rFonts w:asciiTheme="majorHAnsi" w:hAnsiTheme="majorHAnsi"/>
                  <w:sz w:val="18"/>
                  <w:lang w:val="es-ES"/>
                </w:rPr>
                <w:t xml:space="preserve">Página </w:t>
              </w:r>
              <w:r w:rsidRPr="00D95B03">
                <w:rPr>
                  <w:rFonts w:asciiTheme="majorHAnsi" w:hAnsiTheme="majorHAnsi"/>
                  <w:sz w:val="18"/>
                  <w:lang w:val="es-ES"/>
                </w:rPr>
                <w:fldChar w:fldCharType="begin"/>
              </w:r>
              <w:r w:rsidRPr="00D95B03">
                <w:rPr>
                  <w:rFonts w:asciiTheme="majorHAnsi" w:hAnsiTheme="majorHAnsi"/>
                  <w:sz w:val="18"/>
                  <w:lang w:val="es-ES"/>
                </w:rPr>
                <w:instrText xml:space="preserve"> PAGE </w:instrText>
              </w:r>
              <w:r w:rsidRPr="00D95B03">
                <w:rPr>
                  <w:rFonts w:asciiTheme="majorHAnsi" w:hAnsiTheme="majorHAnsi"/>
                  <w:sz w:val="18"/>
                  <w:lang w:val="es-ES"/>
                </w:rPr>
                <w:fldChar w:fldCharType="separate"/>
              </w:r>
              <w:r w:rsidR="008225A0">
                <w:rPr>
                  <w:rFonts w:asciiTheme="majorHAnsi" w:hAnsiTheme="majorHAnsi"/>
                  <w:noProof/>
                  <w:sz w:val="18"/>
                  <w:lang w:val="es-ES"/>
                </w:rPr>
                <w:t>3</w:t>
              </w:r>
              <w:r w:rsidRPr="00D95B03">
                <w:rPr>
                  <w:rFonts w:asciiTheme="majorHAnsi" w:hAnsiTheme="majorHAnsi"/>
                  <w:sz w:val="18"/>
                  <w:lang w:val="es-ES"/>
                </w:rPr>
                <w:fldChar w:fldCharType="end"/>
              </w:r>
              <w:r w:rsidRPr="00D95B03">
                <w:rPr>
                  <w:rFonts w:asciiTheme="majorHAnsi" w:hAnsiTheme="majorHAnsi"/>
                  <w:sz w:val="18"/>
                  <w:lang w:val="es-ES"/>
                </w:rPr>
                <w:t xml:space="preserve"> de </w:t>
              </w:r>
              <w:r w:rsidRPr="00D95B03">
                <w:rPr>
                  <w:rFonts w:asciiTheme="majorHAnsi" w:hAnsiTheme="majorHAnsi"/>
                  <w:sz w:val="18"/>
                  <w:lang w:val="es-ES"/>
                </w:rPr>
                <w:fldChar w:fldCharType="begin"/>
              </w:r>
              <w:r w:rsidRPr="00D95B03">
                <w:rPr>
                  <w:rFonts w:asciiTheme="majorHAnsi" w:hAnsiTheme="majorHAnsi"/>
                  <w:sz w:val="18"/>
                  <w:lang w:val="es-ES"/>
                </w:rPr>
                <w:instrText xml:space="preserve"> NUMPAGES  </w:instrText>
              </w:r>
              <w:r w:rsidRPr="00D95B03">
                <w:rPr>
                  <w:rFonts w:asciiTheme="majorHAnsi" w:hAnsiTheme="majorHAnsi"/>
                  <w:sz w:val="18"/>
                  <w:lang w:val="es-ES"/>
                </w:rPr>
                <w:fldChar w:fldCharType="separate"/>
              </w:r>
              <w:r w:rsidR="008225A0">
                <w:rPr>
                  <w:rFonts w:asciiTheme="majorHAnsi" w:hAnsiTheme="majorHAnsi"/>
                  <w:noProof/>
                  <w:sz w:val="18"/>
                  <w:lang w:val="es-ES"/>
                </w:rPr>
                <w:t>3</w:t>
              </w:r>
              <w:r w:rsidRPr="00D95B03">
                <w:rPr>
                  <w:rFonts w:asciiTheme="majorHAnsi" w:hAnsiTheme="majorHAnsi"/>
                  <w:sz w:val="18"/>
                  <w:lang w:val="es-ES"/>
                </w:rPr>
                <w:fldChar w:fldCharType="end"/>
              </w:r>
            </w:p>
          </w:sdtContent>
        </w:sdt>
      </w:tc>
    </w:tr>
  </w:tbl>
  <w:p w:rsidR="006E6018" w:rsidRPr="00D95B03" w:rsidRDefault="00C258CF" w:rsidP="00D95B03">
    <w:pPr>
      <w:pStyle w:val="Piedepgina"/>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CF" w:rsidRDefault="00C258CF">
      <w:r>
        <w:separator/>
      </w:r>
    </w:p>
  </w:footnote>
  <w:footnote w:type="continuationSeparator" w:id="0">
    <w:p w:rsidR="00C258CF" w:rsidRDefault="00C2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2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0"/>
    </w:tblGrid>
    <w:tr w:rsidR="008F67F8" w:rsidTr="008F67F8">
      <w:tc>
        <w:tcPr>
          <w:tcW w:w="5970" w:type="dxa"/>
          <w:vAlign w:val="center"/>
        </w:tcPr>
        <w:p w:rsidR="008F67F8" w:rsidRPr="0078118B" w:rsidRDefault="00016192" w:rsidP="008F67F8">
          <w:pPr>
            <w:jc w:val="center"/>
            <w:rPr>
              <w:rFonts w:asciiTheme="majorHAnsi" w:hAnsiTheme="majorHAnsi"/>
              <w:b/>
            </w:rPr>
          </w:pPr>
          <w:r>
            <w:rPr>
              <w:rFonts w:asciiTheme="majorHAnsi" w:hAnsiTheme="majorHAnsi"/>
              <w:b/>
            </w:rPr>
            <w:t>FICHA DE ANÁLISIS JURISPRUDENCIAL</w:t>
          </w:r>
        </w:p>
      </w:tc>
    </w:tr>
  </w:tbl>
  <w:p w:rsidR="006E6018" w:rsidRDefault="00C258CF" w:rsidP="00476AA4">
    <w:pP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475F1"/>
    <w:multiLevelType w:val="hybridMultilevel"/>
    <w:tmpl w:val="457C2250"/>
    <w:lvl w:ilvl="0" w:tplc="69E02E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20"/>
    <w:rsid w:val="000019F8"/>
    <w:rsid w:val="0000736A"/>
    <w:rsid w:val="00016192"/>
    <w:rsid w:val="00344E6E"/>
    <w:rsid w:val="003C410C"/>
    <w:rsid w:val="00685CAA"/>
    <w:rsid w:val="007640CD"/>
    <w:rsid w:val="00812603"/>
    <w:rsid w:val="008225A0"/>
    <w:rsid w:val="00B01620"/>
    <w:rsid w:val="00B311CC"/>
    <w:rsid w:val="00BC3430"/>
    <w:rsid w:val="00C258CF"/>
    <w:rsid w:val="00D240E4"/>
    <w:rsid w:val="00D43806"/>
    <w:rsid w:val="00F359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20"/>
    <w:pPr>
      <w:spacing w:after="0" w:line="240" w:lineRule="auto"/>
    </w:pPr>
    <w:rPr>
      <w:rFonts w:ascii="Times New Roman" w:eastAsia="MS Mincho"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0162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01620"/>
  </w:style>
  <w:style w:type="table" w:styleId="Tablaconcuadrcula">
    <w:name w:val="Table Grid"/>
    <w:basedOn w:val="Tablanormal"/>
    <w:uiPriority w:val="39"/>
    <w:rsid w:val="00B01620"/>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B01620"/>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B01620"/>
    <w:rPr>
      <w:sz w:val="16"/>
      <w:szCs w:val="16"/>
    </w:rPr>
  </w:style>
  <w:style w:type="paragraph" w:styleId="Textocomentario">
    <w:name w:val="annotation text"/>
    <w:basedOn w:val="Normal"/>
    <w:link w:val="TextocomentarioCar"/>
    <w:uiPriority w:val="99"/>
    <w:semiHidden/>
    <w:unhideWhenUsed/>
    <w:rsid w:val="00B01620"/>
    <w:rPr>
      <w:sz w:val="20"/>
      <w:szCs w:val="20"/>
    </w:rPr>
  </w:style>
  <w:style w:type="character" w:customStyle="1" w:styleId="TextocomentarioCar">
    <w:name w:val="Texto comentario Car"/>
    <w:basedOn w:val="Fuentedeprrafopredeter"/>
    <w:link w:val="Textocomentario"/>
    <w:uiPriority w:val="99"/>
    <w:semiHidden/>
    <w:rsid w:val="00B01620"/>
    <w:rPr>
      <w:rFonts w:ascii="Times New Roman" w:eastAsia="MS Mincho" w:hAnsi="Times New Roman" w:cs="Times New Roman"/>
      <w:sz w:val="20"/>
      <w:szCs w:val="20"/>
      <w:lang w:eastAsia="es-CO"/>
    </w:rPr>
  </w:style>
  <w:style w:type="paragraph" w:styleId="Textoindependiente">
    <w:name w:val="Body Text"/>
    <w:basedOn w:val="Normal"/>
    <w:link w:val="TextoindependienteCar"/>
    <w:uiPriority w:val="99"/>
    <w:rsid w:val="00B01620"/>
    <w:pPr>
      <w:autoSpaceDE w:val="0"/>
      <w:autoSpaceDN w:val="0"/>
      <w:spacing w:after="120"/>
    </w:pPr>
    <w:rPr>
      <w:rFonts w:eastAsiaTheme="minorEastAsia"/>
      <w:sz w:val="20"/>
      <w:szCs w:val="20"/>
      <w:lang w:val="es-ES_tradnl" w:eastAsia="es-ES"/>
    </w:rPr>
  </w:style>
  <w:style w:type="character" w:customStyle="1" w:styleId="TextoindependienteCar">
    <w:name w:val="Texto independiente Car"/>
    <w:basedOn w:val="Fuentedeprrafopredeter"/>
    <w:link w:val="Textoindependiente"/>
    <w:uiPriority w:val="99"/>
    <w:rsid w:val="00B01620"/>
    <w:rPr>
      <w:rFonts w:ascii="Times New Roman" w:eastAsiaTheme="minorEastAsia"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B016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620"/>
    <w:rPr>
      <w:rFonts w:ascii="Segoe UI" w:eastAsia="MS Mincho" w:hAnsi="Segoe UI" w:cs="Segoe UI"/>
      <w:sz w:val="18"/>
      <w:szCs w:val="18"/>
      <w:lang w:eastAsia="es-CO"/>
    </w:rPr>
  </w:style>
  <w:style w:type="paragraph" w:styleId="Asuntodelcomentario">
    <w:name w:val="annotation subject"/>
    <w:basedOn w:val="Textocomentario"/>
    <w:next w:val="Textocomentario"/>
    <w:link w:val="AsuntodelcomentarioCar"/>
    <w:uiPriority w:val="99"/>
    <w:semiHidden/>
    <w:unhideWhenUsed/>
    <w:rsid w:val="00B01620"/>
    <w:rPr>
      <w:b/>
      <w:bCs/>
    </w:rPr>
  </w:style>
  <w:style w:type="character" w:customStyle="1" w:styleId="AsuntodelcomentarioCar">
    <w:name w:val="Asunto del comentario Car"/>
    <w:basedOn w:val="TextocomentarioCar"/>
    <w:link w:val="Asuntodelcomentario"/>
    <w:uiPriority w:val="99"/>
    <w:semiHidden/>
    <w:rsid w:val="00B01620"/>
    <w:rPr>
      <w:rFonts w:ascii="Times New Roman" w:eastAsia="MS Mincho" w:hAnsi="Times New Roman" w:cs="Times New Roman"/>
      <w:b/>
      <w:bCs/>
      <w:sz w:val="20"/>
      <w:szCs w:val="20"/>
      <w:lang w:eastAsia="es-CO"/>
    </w:rPr>
  </w:style>
  <w:style w:type="paragraph" w:styleId="Prrafodelista">
    <w:name w:val="List Paragraph"/>
    <w:basedOn w:val="Normal"/>
    <w:uiPriority w:val="34"/>
    <w:qFormat/>
    <w:rsid w:val="00B31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20"/>
    <w:pPr>
      <w:spacing w:after="0" w:line="240" w:lineRule="auto"/>
    </w:pPr>
    <w:rPr>
      <w:rFonts w:ascii="Times New Roman" w:eastAsia="MS Mincho"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0162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01620"/>
  </w:style>
  <w:style w:type="table" w:styleId="Tablaconcuadrcula">
    <w:name w:val="Table Grid"/>
    <w:basedOn w:val="Tablanormal"/>
    <w:uiPriority w:val="39"/>
    <w:rsid w:val="00B01620"/>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B01620"/>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B01620"/>
    <w:rPr>
      <w:sz w:val="16"/>
      <w:szCs w:val="16"/>
    </w:rPr>
  </w:style>
  <w:style w:type="paragraph" w:styleId="Textocomentario">
    <w:name w:val="annotation text"/>
    <w:basedOn w:val="Normal"/>
    <w:link w:val="TextocomentarioCar"/>
    <w:uiPriority w:val="99"/>
    <w:semiHidden/>
    <w:unhideWhenUsed/>
    <w:rsid w:val="00B01620"/>
    <w:rPr>
      <w:sz w:val="20"/>
      <w:szCs w:val="20"/>
    </w:rPr>
  </w:style>
  <w:style w:type="character" w:customStyle="1" w:styleId="TextocomentarioCar">
    <w:name w:val="Texto comentario Car"/>
    <w:basedOn w:val="Fuentedeprrafopredeter"/>
    <w:link w:val="Textocomentario"/>
    <w:uiPriority w:val="99"/>
    <w:semiHidden/>
    <w:rsid w:val="00B01620"/>
    <w:rPr>
      <w:rFonts w:ascii="Times New Roman" w:eastAsia="MS Mincho" w:hAnsi="Times New Roman" w:cs="Times New Roman"/>
      <w:sz w:val="20"/>
      <w:szCs w:val="20"/>
      <w:lang w:eastAsia="es-CO"/>
    </w:rPr>
  </w:style>
  <w:style w:type="paragraph" w:styleId="Textoindependiente">
    <w:name w:val="Body Text"/>
    <w:basedOn w:val="Normal"/>
    <w:link w:val="TextoindependienteCar"/>
    <w:uiPriority w:val="99"/>
    <w:rsid w:val="00B01620"/>
    <w:pPr>
      <w:autoSpaceDE w:val="0"/>
      <w:autoSpaceDN w:val="0"/>
      <w:spacing w:after="120"/>
    </w:pPr>
    <w:rPr>
      <w:rFonts w:eastAsiaTheme="minorEastAsia"/>
      <w:sz w:val="20"/>
      <w:szCs w:val="20"/>
      <w:lang w:val="es-ES_tradnl" w:eastAsia="es-ES"/>
    </w:rPr>
  </w:style>
  <w:style w:type="character" w:customStyle="1" w:styleId="TextoindependienteCar">
    <w:name w:val="Texto independiente Car"/>
    <w:basedOn w:val="Fuentedeprrafopredeter"/>
    <w:link w:val="Textoindependiente"/>
    <w:uiPriority w:val="99"/>
    <w:rsid w:val="00B01620"/>
    <w:rPr>
      <w:rFonts w:ascii="Times New Roman" w:eastAsiaTheme="minorEastAsia"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B016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620"/>
    <w:rPr>
      <w:rFonts w:ascii="Segoe UI" w:eastAsia="MS Mincho" w:hAnsi="Segoe UI" w:cs="Segoe UI"/>
      <w:sz w:val="18"/>
      <w:szCs w:val="18"/>
      <w:lang w:eastAsia="es-CO"/>
    </w:rPr>
  </w:style>
  <w:style w:type="paragraph" w:styleId="Asuntodelcomentario">
    <w:name w:val="annotation subject"/>
    <w:basedOn w:val="Textocomentario"/>
    <w:next w:val="Textocomentario"/>
    <w:link w:val="AsuntodelcomentarioCar"/>
    <w:uiPriority w:val="99"/>
    <w:semiHidden/>
    <w:unhideWhenUsed/>
    <w:rsid w:val="00B01620"/>
    <w:rPr>
      <w:b/>
      <w:bCs/>
    </w:rPr>
  </w:style>
  <w:style w:type="character" w:customStyle="1" w:styleId="AsuntodelcomentarioCar">
    <w:name w:val="Asunto del comentario Car"/>
    <w:basedOn w:val="TextocomentarioCar"/>
    <w:link w:val="Asuntodelcomentario"/>
    <w:uiPriority w:val="99"/>
    <w:semiHidden/>
    <w:rsid w:val="00B01620"/>
    <w:rPr>
      <w:rFonts w:ascii="Times New Roman" w:eastAsia="MS Mincho" w:hAnsi="Times New Roman" w:cs="Times New Roman"/>
      <w:b/>
      <w:bCs/>
      <w:sz w:val="20"/>
      <w:szCs w:val="20"/>
      <w:lang w:eastAsia="es-CO"/>
    </w:rPr>
  </w:style>
  <w:style w:type="paragraph" w:styleId="Prrafodelista">
    <w:name w:val="List Paragraph"/>
    <w:basedOn w:val="Normal"/>
    <w:uiPriority w:val="34"/>
    <w:qFormat/>
    <w:rsid w:val="00B31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7354">
      <w:bodyDiv w:val="1"/>
      <w:marLeft w:val="0"/>
      <w:marRight w:val="0"/>
      <w:marTop w:val="0"/>
      <w:marBottom w:val="0"/>
      <w:divBdr>
        <w:top w:val="none" w:sz="0" w:space="0" w:color="auto"/>
        <w:left w:val="none" w:sz="0" w:space="0" w:color="auto"/>
        <w:bottom w:val="none" w:sz="0" w:space="0" w:color="auto"/>
        <w:right w:val="none" w:sz="0" w:space="0" w:color="auto"/>
      </w:divBdr>
    </w:div>
    <w:div w:id="1429156225">
      <w:bodyDiv w:val="1"/>
      <w:marLeft w:val="0"/>
      <w:marRight w:val="0"/>
      <w:marTop w:val="0"/>
      <w:marBottom w:val="0"/>
      <w:divBdr>
        <w:top w:val="none" w:sz="0" w:space="0" w:color="auto"/>
        <w:left w:val="none" w:sz="0" w:space="0" w:color="auto"/>
        <w:bottom w:val="none" w:sz="0" w:space="0" w:color="auto"/>
        <w:right w:val="none" w:sz="0" w:space="0" w:color="auto"/>
      </w:divBdr>
    </w:div>
    <w:div w:id="20166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Borda</dc:creator>
  <cp:lastModifiedBy>Sandra Lucia Barriga Moreno</cp:lastModifiedBy>
  <cp:revision>2</cp:revision>
  <dcterms:created xsi:type="dcterms:W3CDTF">2019-09-25T16:01:00Z</dcterms:created>
  <dcterms:modified xsi:type="dcterms:W3CDTF">2019-09-25T16:01:00Z</dcterms:modified>
</cp:coreProperties>
</file>