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214"/>
      </w:tblGrid>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rPr>
            </w:pPr>
            <w:r w:rsidRPr="0001150E">
              <w:rPr>
                <w:rFonts w:asciiTheme="majorHAnsi" w:hAnsiTheme="majorHAnsi" w:cs="Arial"/>
                <w:b/>
              </w:rPr>
              <w:t xml:space="preserve">NÚMERO DEL PROCESO </w:t>
            </w:r>
            <w:r w:rsidRPr="0001150E">
              <w:rPr>
                <w:rFonts w:asciiTheme="majorHAnsi" w:hAnsiTheme="majorHAnsi" w:cs="Arial"/>
                <w:b/>
                <w:sz w:val="20"/>
              </w:rPr>
              <w:t>(radicación 23 dígitos + n.° expediente):</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2615DC" w:rsidP="00F5018C">
            <w:pPr>
              <w:tabs>
                <w:tab w:val="left" w:pos="2490"/>
              </w:tabs>
              <w:rPr>
                <w:rFonts w:asciiTheme="majorHAnsi" w:hAnsiTheme="majorHAnsi" w:cs="Arial"/>
              </w:rPr>
            </w:pPr>
            <w:r>
              <w:rPr>
                <w:rFonts w:asciiTheme="majorHAnsi" w:hAnsiTheme="majorHAnsi" w:cs="Arial"/>
              </w:rPr>
              <w:t>T-2.768.074</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rPr>
            </w:pPr>
            <w:r w:rsidRPr="0001150E">
              <w:rPr>
                <w:rFonts w:asciiTheme="majorHAnsi" w:hAnsiTheme="majorHAnsi" w:cs="Arial"/>
                <w:b/>
              </w:rPr>
              <w:t xml:space="preserve">TIPO DE PROCESO </w:t>
            </w:r>
            <w:r w:rsidRPr="0001150E">
              <w:rPr>
                <w:rFonts w:asciiTheme="majorHAnsi" w:hAnsiTheme="majorHAnsi" w:cs="Arial"/>
                <w:b/>
                <w:sz w:val="20"/>
              </w:rPr>
              <w:t>(tipo de acción):</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2615DC" w:rsidP="002615DC">
            <w:pPr>
              <w:tabs>
                <w:tab w:val="left" w:pos="1808"/>
              </w:tabs>
              <w:rPr>
                <w:rFonts w:asciiTheme="majorHAnsi" w:hAnsiTheme="majorHAnsi" w:cs="Arial"/>
              </w:rPr>
            </w:pPr>
            <w:r>
              <w:rPr>
                <w:rFonts w:asciiTheme="majorHAnsi" w:hAnsiTheme="majorHAnsi" w:cs="Arial"/>
              </w:rPr>
              <w:t>ACCIÓN DE TUTELA.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TIPO DE PROVIDENCIA </w:t>
            </w:r>
            <w:r w:rsidRPr="0001150E">
              <w:rPr>
                <w:rFonts w:asciiTheme="majorHAnsi" w:hAnsiTheme="majorHAnsi" w:cs="Arial"/>
                <w:b/>
                <w:sz w:val="20"/>
              </w:rPr>
              <w:t>(sentencia de unificación, sentencia, auto de unificación, auto)</w:t>
            </w:r>
            <w:r w:rsidRPr="0001150E">
              <w:rPr>
                <w:rFonts w:asciiTheme="majorHAnsi" w:hAnsiTheme="majorHAnsi" w:cs="Arial"/>
                <w:b/>
              </w:rPr>
              <w:t xml:space="preserve">: </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2615DC" w:rsidP="00F5018C">
            <w:pPr>
              <w:rPr>
                <w:rFonts w:asciiTheme="majorHAnsi" w:hAnsiTheme="majorHAnsi" w:cs="Arial"/>
              </w:rPr>
            </w:pPr>
            <w:r>
              <w:rPr>
                <w:rFonts w:asciiTheme="majorHAnsi" w:hAnsiTheme="majorHAnsi" w:cs="Arial"/>
              </w:rPr>
              <w:t>SENTENCIA.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NÚMERO DE LA SENTENCIA </w:t>
            </w:r>
            <w:r w:rsidRPr="0001150E">
              <w:rPr>
                <w:rFonts w:asciiTheme="majorHAnsi" w:hAnsiTheme="majorHAnsi" w:cs="Arial"/>
                <w:b/>
                <w:sz w:val="20"/>
                <w:szCs w:val="20"/>
              </w:rPr>
              <w:t>(si aplica</w:t>
            </w:r>
            <w:r w:rsidRPr="0001150E">
              <w:rPr>
                <w:rFonts w:asciiTheme="majorHAnsi" w:hAnsiTheme="majorHAnsi" w:cs="Arial"/>
                <w:b/>
                <w:sz w:val="20"/>
              </w:rPr>
              <w:t>):</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2615DC" w:rsidP="00F5018C">
            <w:pPr>
              <w:rPr>
                <w:rFonts w:asciiTheme="majorHAnsi" w:hAnsiTheme="majorHAnsi" w:cs="Arial"/>
              </w:rPr>
            </w:pPr>
            <w:r>
              <w:rPr>
                <w:rFonts w:asciiTheme="majorHAnsi" w:hAnsiTheme="majorHAnsi" w:cs="Arial"/>
              </w:rPr>
              <w:t>T-147-2011.</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FECHA DE LA PROVIDENCIA </w:t>
            </w:r>
            <w:r w:rsidRPr="0001150E">
              <w:rPr>
                <w:rFonts w:asciiTheme="majorHAnsi" w:hAnsiTheme="majorHAnsi" w:cs="Arial"/>
                <w:b/>
                <w:sz w:val="20"/>
                <w:szCs w:val="20"/>
              </w:rPr>
              <w:t>(año/mes/día):</w:t>
            </w:r>
            <w:r w:rsidRPr="0001150E">
              <w:rPr>
                <w:rFonts w:asciiTheme="majorHAnsi" w:hAnsiTheme="majorHAnsi" w:cs="Arial"/>
                <w:b/>
              </w:rPr>
              <w:t xml:space="preserve"> </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692C2C" w:rsidP="00692C2C">
            <w:pPr>
              <w:tabs>
                <w:tab w:val="left" w:pos="1935"/>
              </w:tabs>
              <w:rPr>
                <w:rFonts w:asciiTheme="majorHAnsi" w:hAnsiTheme="majorHAnsi" w:cs="Arial"/>
              </w:rPr>
            </w:pPr>
            <w:r>
              <w:rPr>
                <w:rFonts w:asciiTheme="majorHAnsi" w:hAnsiTheme="majorHAnsi" w:cs="Arial"/>
              </w:rPr>
              <w:t>2011/03/07.</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DESPACHO </w:t>
            </w:r>
            <w:r w:rsidRPr="0001150E">
              <w:rPr>
                <w:rFonts w:asciiTheme="majorHAnsi" w:hAnsiTheme="majorHAnsi" w:cs="Arial"/>
                <w:b/>
                <w:sz w:val="20"/>
                <w:szCs w:val="20"/>
              </w:rPr>
              <w:t>(corporación/sección/subsección/sala plena/sala de decisión):</w:t>
            </w:r>
            <w:r w:rsidRPr="0001150E">
              <w:rPr>
                <w:rFonts w:asciiTheme="majorHAnsi" w:hAnsiTheme="majorHAnsi" w:cs="Arial"/>
              </w:rPr>
              <w:t xml:space="preserve"> </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auto"/>
          </w:tcPr>
          <w:p w:rsidR="00471B94" w:rsidRPr="0001150E" w:rsidRDefault="00471B94" w:rsidP="00471B94">
            <w:pPr>
              <w:tabs>
                <w:tab w:val="left" w:pos="6750"/>
              </w:tabs>
              <w:rPr>
                <w:rFonts w:asciiTheme="majorHAnsi" w:hAnsiTheme="majorHAnsi" w:cs="Arial"/>
              </w:rPr>
            </w:pPr>
            <w:r>
              <w:rPr>
                <w:rFonts w:asciiTheme="majorHAnsi" w:hAnsiTheme="majorHAnsi" w:cs="Arial"/>
              </w:rPr>
              <w:t>CORTE CONSTITUCIONAL/</w:t>
            </w:r>
            <w:r w:rsidR="008E25B3">
              <w:rPr>
                <w:rFonts w:asciiTheme="majorHAnsi" w:hAnsiTheme="majorHAnsi" w:cs="Arial"/>
              </w:rPr>
              <w:t>SALA SEGUNDA DE REVISIÓN.</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MAGISTRADO PONENTE: </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auto"/>
          </w:tcPr>
          <w:p w:rsidR="00471B94" w:rsidRPr="0001150E" w:rsidRDefault="002615DC" w:rsidP="00F5018C">
            <w:pPr>
              <w:rPr>
                <w:rFonts w:asciiTheme="majorHAnsi" w:hAnsiTheme="majorHAnsi" w:cs="Arial"/>
              </w:rPr>
            </w:pPr>
            <w:r>
              <w:rPr>
                <w:rFonts w:asciiTheme="majorHAnsi" w:hAnsiTheme="majorHAnsi" w:cs="Arial"/>
              </w:rPr>
              <w:t>MAURICIO GONZALEZ CUERVO.</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ACTOR: </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2615DC" w:rsidP="00F5018C">
            <w:pPr>
              <w:rPr>
                <w:rFonts w:asciiTheme="majorHAnsi" w:hAnsiTheme="majorHAnsi" w:cs="Arial"/>
              </w:rPr>
            </w:pPr>
            <w:r>
              <w:rPr>
                <w:rFonts w:asciiTheme="majorHAnsi" w:hAnsiTheme="majorHAnsi" w:cs="Arial"/>
              </w:rPr>
              <w:t>CESAR AUGUSTO PÉREZ GARCÍA.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DEMANDADO: </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2615DC" w:rsidP="00F5018C">
            <w:pPr>
              <w:tabs>
                <w:tab w:val="left" w:pos="2839"/>
              </w:tabs>
              <w:rPr>
                <w:rFonts w:asciiTheme="majorHAnsi" w:hAnsiTheme="majorHAnsi" w:cs="Arial"/>
              </w:rPr>
            </w:pPr>
            <w:r>
              <w:rPr>
                <w:rFonts w:asciiTheme="majorHAnsi" w:hAnsiTheme="majorHAnsi" w:cs="Arial"/>
              </w:rPr>
              <w:t>PROCURADURÍA REGIONAL</w:t>
            </w:r>
            <w:r w:rsidR="008E25B3">
              <w:rPr>
                <w:rFonts w:asciiTheme="majorHAnsi" w:hAnsiTheme="majorHAnsi" w:cs="Arial"/>
              </w:rPr>
              <w:t xml:space="preserve"> DE ANTIOQUIA, </w:t>
            </w:r>
            <w:r w:rsidR="008E25B3" w:rsidRPr="008E25B3">
              <w:rPr>
                <w:rFonts w:asciiTheme="majorHAnsi" w:hAnsiTheme="majorHAnsi" w:cs="Arial"/>
              </w:rPr>
              <w:t>PROCURADURÍA SEGUNDA DELEGADA PAR</w:t>
            </w:r>
            <w:r w:rsidR="008E25B3">
              <w:rPr>
                <w:rFonts w:asciiTheme="majorHAnsi" w:hAnsiTheme="majorHAnsi" w:cs="Arial"/>
              </w:rPr>
              <w:t>A LA VIGILANCIA ADMINISTRATIVA.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highlight w:val="yellow"/>
              </w:rPr>
            </w:pPr>
            <w:r w:rsidRPr="0001150E">
              <w:rPr>
                <w:rFonts w:asciiTheme="majorHAnsi" w:hAnsiTheme="majorHAnsi" w:cs="Arial"/>
                <w:b/>
              </w:rPr>
              <w:t>SENTIDO DEL FALLO :</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auto"/>
          </w:tcPr>
          <w:p w:rsidR="00471B94" w:rsidRPr="0001150E" w:rsidRDefault="00471B94" w:rsidP="00F5018C">
            <w:pPr>
              <w:rPr>
                <w:rFonts w:asciiTheme="majorHAnsi" w:hAnsiTheme="majorHAnsi" w:cs="Arial"/>
              </w:rPr>
            </w:pPr>
            <w:r>
              <w:rPr>
                <w:rFonts w:asciiTheme="majorHAnsi" w:hAnsiTheme="majorHAnsi" w:cs="Arial"/>
              </w:rPr>
              <w:t>FAVORABLE.</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HECHOS RELEVANTES </w:t>
            </w:r>
            <w:r w:rsidRPr="0001150E">
              <w:rPr>
                <w:rFonts w:asciiTheme="majorHAnsi" w:hAnsiTheme="majorHAnsi" w:cs="Arial"/>
                <w:b/>
                <w:sz w:val="20"/>
                <w:szCs w:val="20"/>
              </w:rPr>
              <w:t xml:space="preserve">(los hechos que resultaron probados, no los narrados en la demanda, limitados al problema jurídico concreto que orienta la ficha): </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2615DC" w:rsidRDefault="002615DC" w:rsidP="008E25B3">
            <w:pPr>
              <w:jc w:val="both"/>
              <w:rPr>
                <w:rFonts w:asciiTheme="majorHAnsi" w:hAnsiTheme="majorHAnsi" w:cs="Arial"/>
              </w:rPr>
            </w:pPr>
            <w:r>
              <w:rPr>
                <w:rFonts w:asciiTheme="majorHAnsi" w:hAnsiTheme="majorHAnsi" w:cs="Arial"/>
              </w:rPr>
              <w:t xml:space="preserve">La Procuraduría General de Antioquia encontró disciplinariamente responsable  </w:t>
            </w:r>
            <w:r w:rsidR="008E25B3">
              <w:rPr>
                <w:rFonts w:asciiTheme="majorHAnsi" w:hAnsiTheme="majorHAnsi" w:cs="Arial"/>
              </w:rPr>
              <w:t xml:space="preserve">al  diputado de la asamblea departamental de Antioquia Cesar Augusto Pérez García, imponiéndole como sanción la destitución </w:t>
            </w:r>
            <w:r w:rsidR="00893656">
              <w:rPr>
                <w:rFonts w:asciiTheme="majorHAnsi" w:hAnsiTheme="majorHAnsi" w:cs="Arial"/>
              </w:rPr>
              <w:t xml:space="preserve">del cargo </w:t>
            </w:r>
            <w:r w:rsidR="008E25B3">
              <w:rPr>
                <w:rFonts w:asciiTheme="majorHAnsi" w:hAnsiTheme="majorHAnsi" w:cs="Arial"/>
              </w:rPr>
              <w:t>e inhabilidad general por quince (15) años</w:t>
            </w:r>
            <w:r w:rsidR="00893656">
              <w:rPr>
                <w:rFonts w:asciiTheme="majorHAnsi" w:hAnsiTheme="majorHAnsi" w:cs="Arial"/>
              </w:rPr>
              <w:t xml:space="preserve">. </w:t>
            </w:r>
          </w:p>
          <w:p w:rsidR="00893656" w:rsidRDefault="00893656" w:rsidP="008E25B3">
            <w:pPr>
              <w:jc w:val="both"/>
              <w:rPr>
                <w:rFonts w:asciiTheme="majorHAnsi" w:hAnsiTheme="majorHAnsi" w:cs="Arial"/>
              </w:rPr>
            </w:pPr>
          </w:p>
          <w:p w:rsidR="0016382B" w:rsidRPr="00893656" w:rsidRDefault="0078236A" w:rsidP="00A727D7">
            <w:pPr>
              <w:jc w:val="both"/>
              <w:rPr>
                <w:rFonts w:asciiTheme="majorHAnsi" w:hAnsiTheme="majorHAnsi" w:cs="Arial"/>
              </w:rPr>
            </w:pPr>
            <w:r>
              <w:rPr>
                <w:rFonts w:asciiTheme="majorHAnsi" w:hAnsiTheme="majorHAnsi" w:cs="Arial"/>
              </w:rPr>
              <w:t>El accionante arguye</w:t>
            </w:r>
            <w:r w:rsidR="00893656" w:rsidRPr="00893656">
              <w:rPr>
                <w:rFonts w:asciiTheme="majorHAnsi" w:hAnsiTheme="majorHAnsi" w:cs="Arial"/>
              </w:rPr>
              <w:t xml:space="preserve"> la</w:t>
            </w:r>
            <w:r w:rsidR="00893656" w:rsidRPr="00893656">
              <w:rPr>
                <w:rFonts w:asciiTheme="majorHAnsi" w:hAnsiTheme="majorHAnsi"/>
                <w:shd w:val="clear" w:color="auto" w:fill="FFFFFF"/>
              </w:rPr>
              <w:t xml:space="preserve"> violación del principio de non bis in </w:t>
            </w:r>
            <w:r w:rsidRPr="00893656">
              <w:rPr>
                <w:rFonts w:asciiTheme="majorHAnsi" w:hAnsiTheme="majorHAnsi"/>
                <w:shd w:val="clear" w:color="auto" w:fill="FFFFFF"/>
              </w:rPr>
              <w:t>ídem</w:t>
            </w:r>
            <w:r w:rsidR="00A727D7">
              <w:rPr>
                <w:rFonts w:asciiTheme="majorHAnsi" w:hAnsiTheme="majorHAnsi"/>
                <w:shd w:val="clear" w:color="auto" w:fill="FFFFFF"/>
              </w:rPr>
              <w:t xml:space="preserve"> </w:t>
            </w:r>
            <w:r>
              <w:rPr>
                <w:rFonts w:asciiTheme="majorHAnsi" w:hAnsiTheme="majorHAnsi"/>
                <w:shd w:val="clear" w:color="auto" w:fill="FFFFFF"/>
              </w:rPr>
              <w:t>y el derecho del debido proceso, alegando que ya se había adelantado el proceso de pérd</w:t>
            </w:r>
            <w:r w:rsidR="001A6D6A">
              <w:rPr>
                <w:rFonts w:asciiTheme="majorHAnsi" w:hAnsiTheme="majorHAnsi"/>
                <w:shd w:val="clear" w:color="auto" w:fill="FFFFFF"/>
              </w:rPr>
              <w:t>ida de investidura en su contra</w:t>
            </w:r>
            <w:r w:rsidR="00075261">
              <w:rPr>
                <w:rFonts w:asciiTheme="majorHAnsi" w:hAnsiTheme="majorHAnsi"/>
                <w:shd w:val="clear" w:color="auto" w:fill="FFFFFF"/>
              </w:rPr>
              <w:t xml:space="preserve"> por los mismos</w:t>
            </w:r>
            <w:r w:rsidR="001A6D6A">
              <w:rPr>
                <w:rFonts w:asciiTheme="majorHAnsi" w:hAnsiTheme="majorHAnsi"/>
                <w:shd w:val="clear" w:color="auto" w:fill="FFFFFF"/>
              </w:rPr>
              <w:t xml:space="preserve"> hechos.</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PROBLEMA JURÍDICO DEL CASO CONCRETO </w:t>
            </w:r>
            <w:r w:rsidRPr="0001150E">
              <w:rPr>
                <w:rFonts w:asciiTheme="majorHAnsi" w:hAnsiTheme="majorHAnsi" w:cs="Arial"/>
                <w:b/>
                <w:sz w:val="20"/>
                <w:szCs w:val="20"/>
              </w:rPr>
              <w:t>(en concordancia con los hechos relevantes):</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893656" w:rsidP="00421A7A">
            <w:pPr>
              <w:jc w:val="both"/>
              <w:rPr>
                <w:rFonts w:asciiTheme="majorHAnsi" w:hAnsiTheme="majorHAnsi" w:cs="Arial"/>
              </w:rPr>
            </w:pPr>
            <w:r>
              <w:rPr>
                <w:rFonts w:asciiTheme="majorHAnsi" w:hAnsiTheme="majorHAnsi"/>
              </w:rPr>
              <w:t xml:space="preserve">¿Es procedente la acción de tutela como mecanismo para suspender los efectos de la decisión de sanción de destitución  e inhabilidad general que se impuso contra el </w:t>
            </w:r>
            <w:r w:rsidR="00F24810">
              <w:rPr>
                <w:rFonts w:asciiTheme="majorHAnsi" w:hAnsiTheme="majorHAnsi"/>
              </w:rPr>
              <w:t>diputado de la asamblea departamental de Antioquia por parte de la Procuraduría Regional de Antioquia</w:t>
            </w:r>
            <w:r w:rsidR="000B519B">
              <w:rPr>
                <w:rFonts w:asciiTheme="majorHAnsi" w:hAnsiTheme="majorHAnsi"/>
              </w:rPr>
              <w:t xml:space="preserve"> quién ya había sido sancionado con la p</w:t>
            </w:r>
            <w:r w:rsidR="00421A7A">
              <w:rPr>
                <w:rFonts w:asciiTheme="majorHAnsi" w:hAnsiTheme="majorHAnsi"/>
              </w:rPr>
              <w:t>érdida de investidu</w:t>
            </w:r>
            <w:r w:rsidR="000B519B">
              <w:rPr>
                <w:rFonts w:asciiTheme="majorHAnsi" w:hAnsiTheme="majorHAnsi"/>
              </w:rPr>
              <w:t>ra</w:t>
            </w:r>
            <w:r w:rsidR="00F24810">
              <w:rPr>
                <w:rFonts w:asciiTheme="majorHAnsi" w:hAnsiTheme="majorHAnsi"/>
              </w:rPr>
              <w:t>?</w:t>
            </w:r>
          </w:p>
        </w:tc>
      </w:tr>
      <w:tr w:rsidR="00471B94" w:rsidRPr="0001150E" w:rsidTr="00F5018C">
        <w:trPr>
          <w:trHeight w:val="344"/>
        </w:trPr>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ACTO DEMANDADO </w:t>
            </w:r>
            <w:r w:rsidRPr="0001150E">
              <w:rPr>
                <w:rFonts w:asciiTheme="majorHAnsi" w:hAnsiTheme="majorHAnsi" w:cs="Arial"/>
                <w:b/>
                <w:sz w:val="20"/>
                <w:szCs w:val="20"/>
              </w:rPr>
              <w:t>(si aplica, por ejemplo si se pide la nulidad de un acto administrativo):</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471B94" w:rsidP="00F5018C">
            <w:pPr>
              <w:rPr>
                <w:rFonts w:asciiTheme="majorHAnsi" w:hAnsiTheme="majorHAnsi" w:cs="Arial"/>
              </w:rPr>
            </w:pPr>
            <w:r w:rsidRPr="0001150E">
              <w:rPr>
                <w:rFonts w:asciiTheme="majorHAnsi" w:hAnsiTheme="majorHAnsi" w:cs="Arial"/>
              </w:rPr>
              <w:t>N/A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FUNDAMENTO LEGAL DE LA DEMANDA </w:t>
            </w:r>
            <w:r w:rsidRPr="0001150E">
              <w:rPr>
                <w:rFonts w:asciiTheme="majorHAnsi" w:hAnsiTheme="majorHAnsi" w:cs="Arial"/>
                <w:b/>
                <w:sz w:val="20"/>
                <w:szCs w:val="20"/>
              </w:rPr>
              <w:t>(si aplica y en relación con el problema jurídico concreto que orienta la ficha):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471B94" w:rsidP="00F5018C">
            <w:pPr>
              <w:rPr>
                <w:rFonts w:asciiTheme="majorHAnsi" w:hAnsiTheme="majorHAnsi" w:cs="Arial"/>
              </w:rPr>
            </w:pPr>
            <w:r w:rsidRPr="0001150E">
              <w:rPr>
                <w:rFonts w:asciiTheme="majorHAnsi" w:hAnsiTheme="majorHAnsi" w:cs="Arial"/>
              </w:rPr>
              <w:t>N/A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FUNDAMENTO LEGAL DE LA DEFENSA </w:t>
            </w:r>
            <w:r w:rsidRPr="0001150E">
              <w:rPr>
                <w:rFonts w:asciiTheme="majorHAnsi" w:hAnsiTheme="majorHAnsi" w:cs="Arial"/>
                <w:b/>
                <w:sz w:val="20"/>
                <w:szCs w:val="20"/>
              </w:rPr>
              <w:t>(si aplica y en relación con el problema jurídico concreto que orienta la ficha):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471B94" w:rsidP="00F5018C">
            <w:pPr>
              <w:rPr>
                <w:rFonts w:asciiTheme="majorHAnsi" w:hAnsiTheme="majorHAnsi" w:cs="Arial"/>
              </w:rPr>
            </w:pPr>
            <w:r w:rsidRPr="0001150E">
              <w:rPr>
                <w:rFonts w:asciiTheme="majorHAnsi" w:hAnsiTheme="majorHAnsi" w:cs="Arial"/>
              </w:rPr>
              <w:t>N/A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rPr>
            </w:pPr>
            <w:r w:rsidRPr="0001150E">
              <w:rPr>
                <w:rFonts w:asciiTheme="majorHAnsi" w:hAnsiTheme="majorHAnsi" w:cs="Arial"/>
                <w:b/>
              </w:rPr>
              <w:t xml:space="preserve">NORMATIVIDAD QUE APOYA LA DECISIÓN </w:t>
            </w:r>
            <w:r w:rsidRPr="0001150E">
              <w:rPr>
                <w:rFonts w:asciiTheme="majorHAnsi" w:hAnsiTheme="majorHAnsi" w:cs="Arial"/>
                <w:b/>
                <w:sz w:val="20"/>
                <w:szCs w:val="20"/>
              </w:rPr>
              <w:t>(si aplica y en relación con el problema jurídico concreto que orienta la ficha):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471B94" w:rsidP="00F5018C">
            <w:pPr>
              <w:rPr>
                <w:rFonts w:asciiTheme="majorHAnsi" w:hAnsiTheme="majorHAnsi" w:cs="Arial"/>
              </w:rPr>
            </w:pP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rPr>
            </w:pPr>
            <w:r w:rsidRPr="0001150E">
              <w:rPr>
                <w:rFonts w:asciiTheme="majorHAnsi" w:hAnsiTheme="majorHAnsi" w:cs="Arial"/>
                <w:b/>
              </w:rPr>
              <w:lastRenderedPageBreak/>
              <w:t xml:space="preserve">JURISPRUDENCIA QUE APOYA LA DECISIÓN </w:t>
            </w:r>
            <w:r w:rsidRPr="0001150E">
              <w:rPr>
                <w:rFonts w:asciiTheme="majorHAnsi" w:hAnsiTheme="majorHAnsi" w:cs="Arial"/>
                <w:b/>
                <w:sz w:val="20"/>
                <w:szCs w:val="20"/>
              </w:rPr>
              <w:t>(si aplica y en relación con el problema jurídico concreto que orienta la ficha):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FA744D" w:rsidP="00F5018C">
            <w:pPr>
              <w:rPr>
                <w:rFonts w:asciiTheme="majorHAnsi" w:hAnsiTheme="majorHAnsi" w:cs="Arial"/>
              </w:rPr>
            </w:pPr>
            <w:r>
              <w:rPr>
                <w:rFonts w:asciiTheme="majorHAnsi" w:hAnsiTheme="majorHAnsi" w:cs="Arial"/>
              </w:rPr>
              <w:t xml:space="preserve">C-391 de 2002, </w:t>
            </w:r>
            <w:r w:rsidR="00B7448E">
              <w:rPr>
                <w:rFonts w:asciiTheme="majorHAnsi" w:hAnsiTheme="majorHAnsi" w:cs="Arial"/>
              </w:rPr>
              <w:t xml:space="preserve">C-319 de 1999, </w:t>
            </w:r>
            <w:r w:rsidR="00402EF4">
              <w:rPr>
                <w:rFonts w:asciiTheme="majorHAnsi" w:hAnsiTheme="majorHAnsi" w:cs="Arial"/>
              </w:rPr>
              <w:t xml:space="preserve">C-247 de 1995, </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rPr>
            </w:pPr>
            <w:r w:rsidRPr="0001150E">
              <w:rPr>
                <w:rFonts w:asciiTheme="majorHAnsi" w:hAnsiTheme="majorHAnsi" w:cs="Arial"/>
                <w:b/>
              </w:rPr>
              <w:t xml:space="preserve">TESIS JURÍDICA </w:t>
            </w:r>
            <w:r w:rsidRPr="0001150E">
              <w:rPr>
                <w:rFonts w:asciiTheme="majorHAnsi" w:hAnsiTheme="majorHAnsi" w:cs="Arial"/>
                <w:b/>
                <w:sz w:val="20"/>
                <w:szCs w:val="20"/>
              </w:rPr>
              <w:t>(es el resumen del extracto y debe dar respuesta al problema jurídico concreto que orienta la ficha):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AF0B22" w:rsidRPr="00C85AE4" w:rsidRDefault="00AF0B22" w:rsidP="00FF034B">
            <w:pPr>
              <w:pStyle w:val="Lista2"/>
              <w:ind w:left="0" w:firstLine="0"/>
              <w:jc w:val="both"/>
              <w:rPr>
                <w:rFonts w:asciiTheme="majorHAnsi" w:eastAsia="MS Mincho" w:hAnsiTheme="majorHAnsi" w:cs="Arial"/>
                <w:szCs w:val="24"/>
                <w:lang w:val="es-CO" w:eastAsia="es-CO"/>
              </w:rPr>
            </w:pPr>
          </w:p>
          <w:p w:rsidR="00402EF4" w:rsidRPr="00C85AE4" w:rsidRDefault="00F24810" w:rsidP="00FF034B">
            <w:pPr>
              <w:pStyle w:val="Lista2"/>
              <w:ind w:left="0" w:firstLine="0"/>
              <w:jc w:val="both"/>
              <w:rPr>
                <w:rFonts w:asciiTheme="majorHAnsi" w:eastAsia="MS Mincho" w:hAnsiTheme="majorHAnsi" w:cs="Arial"/>
                <w:szCs w:val="24"/>
                <w:lang w:val="es-CO" w:eastAsia="es-CO"/>
              </w:rPr>
            </w:pPr>
            <w:r w:rsidRPr="00C85AE4">
              <w:rPr>
                <w:rFonts w:asciiTheme="majorHAnsi" w:eastAsia="MS Mincho" w:hAnsiTheme="majorHAnsi" w:cs="Arial"/>
                <w:szCs w:val="24"/>
                <w:lang w:val="es-CO" w:eastAsia="es-CO"/>
              </w:rPr>
              <w:t>La jurisprudencia de la Corte Constitucional ha establecido que la acción de tutela no procede como mecanismo transitorio para cuestionar la validez y suspender los efectos de las decisiones adoptadas por la Procuraduría Regional de Antioquia en materia sancionatoria, incluyendo la sanción de destitución e inhabilidad general a funcionarios de elecci</w:t>
            </w:r>
            <w:r w:rsidR="00FF034B" w:rsidRPr="00C85AE4">
              <w:rPr>
                <w:rFonts w:asciiTheme="majorHAnsi" w:eastAsia="MS Mincho" w:hAnsiTheme="majorHAnsi" w:cs="Arial"/>
                <w:szCs w:val="24"/>
                <w:lang w:val="es-CO" w:eastAsia="es-CO"/>
              </w:rPr>
              <w:t xml:space="preserve">ón popular, ya que este mecanismo constitucional es residual y subsidiario, por ende no procede </w:t>
            </w:r>
            <w:r w:rsidR="00FF034B" w:rsidRPr="00C85AE4">
              <w:rPr>
                <w:rFonts w:asciiTheme="majorHAnsi" w:eastAsia="MS Mincho" w:hAnsiTheme="majorHAnsi" w:cs="Arial"/>
                <w:i/>
                <w:szCs w:val="24"/>
                <w:lang w:val="es-CO" w:eastAsia="es-CO"/>
              </w:rPr>
              <w:t>"cuando existan otros recursos o medios de defensa judiciales, salvo que aquella se utilice como mecanismo transitorio para evitar un perjuicio irremediable”</w:t>
            </w:r>
            <w:r w:rsidR="00FF034B" w:rsidRPr="00C85AE4">
              <w:rPr>
                <w:rFonts w:asciiTheme="majorHAnsi" w:eastAsia="MS Mincho" w:hAnsiTheme="majorHAnsi" w:cs="Arial"/>
                <w:szCs w:val="24"/>
                <w:lang w:val="es-CO" w:eastAsia="es-CO"/>
              </w:rPr>
              <w:t>, así mismo, porque se considera que dicha pena administrativa no se puede considerar como un perjuicio irremediable.</w:t>
            </w:r>
            <w:r w:rsidR="00352483" w:rsidRPr="00C85AE4">
              <w:rPr>
                <w:rFonts w:asciiTheme="majorHAnsi" w:eastAsia="MS Mincho" w:hAnsiTheme="majorHAnsi" w:cs="Arial"/>
                <w:szCs w:val="24"/>
                <w:lang w:val="es-CO" w:eastAsia="es-CO"/>
              </w:rPr>
              <w:t xml:space="preserve"> </w:t>
            </w:r>
          </w:p>
          <w:p w:rsidR="00FF034B" w:rsidRPr="00C85AE4" w:rsidRDefault="00FF034B" w:rsidP="00FF034B">
            <w:pPr>
              <w:pStyle w:val="Lista2"/>
              <w:ind w:left="0" w:firstLine="0"/>
              <w:jc w:val="both"/>
              <w:rPr>
                <w:rFonts w:asciiTheme="majorHAnsi" w:eastAsia="MS Mincho" w:hAnsiTheme="majorHAnsi" w:cs="Arial"/>
                <w:szCs w:val="24"/>
                <w:lang w:val="es-CO" w:eastAsia="es-CO"/>
              </w:rPr>
            </w:pPr>
          </w:p>
          <w:p w:rsidR="00FF034B" w:rsidRPr="00C85AE4" w:rsidRDefault="000E1AC5" w:rsidP="00FF034B">
            <w:pPr>
              <w:pStyle w:val="Lista2"/>
              <w:ind w:left="0" w:firstLine="0"/>
              <w:jc w:val="both"/>
              <w:rPr>
                <w:rFonts w:asciiTheme="majorHAnsi" w:eastAsia="MS Mincho" w:hAnsiTheme="majorHAnsi" w:cs="Arial"/>
                <w:szCs w:val="24"/>
                <w:lang w:val="es-CO" w:eastAsia="es-CO"/>
              </w:rPr>
            </w:pPr>
            <w:r w:rsidRPr="00C85AE4">
              <w:rPr>
                <w:rFonts w:asciiTheme="majorHAnsi" w:eastAsia="MS Mincho" w:hAnsiTheme="majorHAnsi" w:cs="Arial"/>
                <w:szCs w:val="24"/>
                <w:lang w:val="es-CO" w:eastAsia="es-CO"/>
              </w:rPr>
              <w:t>En el caso c</w:t>
            </w:r>
            <w:r w:rsidR="00A70364" w:rsidRPr="00C85AE4">
              <w:rPr>
                <w:rFonts w:asciiTheme="majorHAnsi" w:eastAsia="MS Mincho" w:hAnsiTheme="majorHAnsi" w:cs="Arial"/>
                <w:szCs w:val="24"/>
                <w:lang w:val="es-CO" w:eastAsia="es-CO"/>
              </w:rPr>
              <w:t xml:space="preserve">oncreto de análisis, </w:t>
            </w:r>
            <w:r w:rsidR="00C85AE4" w:rsidRPr="00C85AE4">
              <w:rPr>
                <w:rFonts w:asciiTheme="majorHAnsi" w:eastAsia="MS Mincho" w:hAnsiTheme="majorHAnsi" w:cs="Arial"/>
                <w:szCs w:val="24"/>
                <w:lang w:val="es-CO" w:eastAsia="es-CO"/>
              </w:rPr>
              <w:t>la C</w:t>
            </w:r>
            <w:r w:rsidR="00430FB2" w:rsidRPr="00C85AE4">
              <w:rPr>
                <w:rFonts w:asciiTheme="majorHAnsi" w:eastAsia="MS Mincho" w:hAnsiTheme="majorHAnsi" w:cs="Arial"/>
                <w:szCs w:val="24"/>
                <w:lang w:val="es-CO" w:eastAsia="es-CO"/>
              </w:rPr>
              <w:t xml:space="preserve">orte </w:t>
            </w:r>
            <w:r w:rsidR="00C85AE4" w:rsidRPr="00C85AE4">
              <w:rPr>
                <w:rFonts w:asciiTheme="majorHAnsi" w:eastAsia="MS Mincho" w:hAnsiTheme="majorHAnsi" w:cs="Arial"/>
                <w:szCs w:val="24"/>
                <w:lang w:val="es-CO" w:eastAsia="es-CO"/>
              </w:rPr>
              <w:t xml:space="preserve">Constitucional </w:t>
            </w:r>
            <w:r w:rsidR="00430FB2" w:rsidRPr="00C85AE4">
              <w:rPr>
                <w:rFonts w:asciiTheme="majorHAnsi" w:eastAsia="MS Mincho" w:hAnsiTheme="majorHAnsi" w:cs="Arial"/>
                <w:szCs w:val="24"/>
                <w:lang w:val="es-CO" w:eastAsia="es-CO"/>
              </w:rPr>
              <w:t>real</w:t>
            </w:r>
            <w:r w:rsidR="00C85AE4" w:rsidRPr="00C85AE4">
              <w:rPr>
                <w:rFonts w:asciiTheme="majorHAnsi" w:eastAsia="MS Mincho" w:hAnsiTheme="majorHAnsi" w:cs="Arial"/>
                <w:szCs w:val="24"/>
                <w:lang w:val="es-CO" w:eastAsia="es-CO"/>
              </w:rPr>
              <w:t xml:space="preserve">iza </w:t>
            </w:r>
            <w:r w:rsidR="00430FB2" w:rsidRPr="00C85AE4">
              <w:rPr>
                <w:rFonts w:asciiTheme="majorHAnsi" w:eastAsia="MS Mincho" w:hAnsiTheme="majorHAnsi" w:cs="Arial"/>
                <w:szCs w:val="24"/>
                <w:lang w:val="es-CO" w:eastAsia="es-CO"/>
              </w:rPr>
              <w:t xml:space="preserve">las siguientes diferenciaciones entre la pérdida de investidura y la destitución del proceso disciplinario: </w:t>
            </w:r>
            <w:r w:rsidR="0065330B" w:rsidRPr="00C85AE4">
              <w:rPr>
                <w:rFonts w:asciiTheme="majorHAnsi" w:eastAsia="MS Mincho" w:hAnsiTheme="majorHAnsi" w:cs="Arial"/>
                <w:szCs w:val="24"/>
                <w:lang w:val="es-CO" w:eastAsia="es-CO"/>
              </w:rPr>
              <w:t>(i) a pesar de</w:t>
            </w:r>
            <w:r w:rsidR="00C85AE4" w:rsidRPr="00C85AE4">
              <w:rPr>
                <w:rFonts w:asciiTheme="majorHAnsi" w:eastAsia="MS Mincho" w:hAnsiTheme="majorHAnsi" w:cs="Arial"/>
                <w:szCs w:val="24"/>
                <w:lang w:val="es-CO" w:eastAsia="es-CO"/>
              </w:rPr>
              <w:t xml:space="preserve"> </w:t>
            </w:r>
            <w:r w:rsidR="00C85AE4" w:rsidRPr="00C85AE4">
              <w:rPr>
                <w:rFonts w:asciiTheme="majorHAnsi" w:hAnsiTheme="majorHAnsi"/>
                <w:lang w:val="es-ES_tradnl"/>
              </w:rPr>
              <w:t xml:space="preserve">que la pérdida de la investidura y </w:t>
            </w:r>
            <w:r w:rsidR="00C85AE4" w:rsidRPr="00C85AE4">
              <w:rPr>
                <w:rFonts w:asciiTheme="majorHAnsi" w:hAnsiTheme="majorHAnsi"/>
                <w:iCs/>
              </w:rPr>
              <w:t>la de destitución de los altos funcionarios públicos</w:t>
            </w:r>
            <w:r w:rsidR="00C85AE4" w:rsidRPr="00C85AE4">
              <w:rPr>
                <w:rFonts w:asciiTheme="majorHAnsi" w:hAnsiTheme="majorHAnsi"/>
                <w:lang w:val="es-ES_tradnl"/>
              </w:rPr>
              <w:t xml:space="preserve"> </w:t>
            </w:r>
            <w:r w:rsidR="00C85AE4" w:rsidRPr="00C85AE4">
              <w:rPr>
                <w:rFonts w:asciiTheme="majorHAnsi" w:hAnsiTheme="majorHAnsi"/>
                <w:iCs/>
              </w:rPr>
              <w:t xml:space="preserve">producen efectos y </w:t>
            </w:r>
            <w:r w:rsidR="00692C2C">
              <w:rPr>
                <w:rFonts w:asciiTheme="majorHAnsi" w:hAnsiTheme="majorHAnsi"/>
                <w:iCs/>
              </w:rPr>
              <w:t xml:space="preserve">son </w:t>
            </w:r>
            <w:r w:rsidR="00C85AE4" w:rsidRPr="00C85AE4">
              <w:rPr>
                <w:rFonts w:asciiTheme="majorHAnsi" w:hAnsiTheme="majorHAnsi"/>
                <w:iCs/>
              </w:rPr>
              <w:t>parecidas por sus efectos y gravedad</w:t>
            </w:r>
            <w:r w:rsidR="00692C2C">
              <w:rPr>
                <w:rFonts w:asciiTheme="majorHAnsi" w:hAnsiTheme="majorHAnsi"/>
                <w:iCs/>
              </w:rPr>
              <w:t>,</w:t>
            </w:r>
            <w:r w:rsidR="00C85AE4" w:rsidRPr="00C85AE4">
              <w:rPr>
                <w:rFonts w:asciiTheme="majorHAnsi" w:hAnsiTheme="majorHAnsi"/>
                <w:iCs/>
              </w:rPr>
              <w:t xml:space="preserve"> no se puede afirmar que son iguales.</w:t>
            </w:r>
            <w:r w:rsidR="00FA744D" w:rsidRPr="00C85AE4">
              <w:rPr>
                <w:rFonts w:asciiTheme="majorHAnsi" w:eastAsia="MS Mincho" w:hAnsiTheme="majorHAnsi" w:cs="Arial"/>
                <w:szCs w:val="24"/>
                <w:lang w:val="es-CO" w:eastAsia="es-CO"/>
              </w:rPr>
              <w:t xml:space="preserve"> (ii)</w:t>
            </w:r>
            <w:r w:rsidR="00692C2C">
              <w:rPr>
                <w:rFonts w:asciiTheme="majorHAnsi" w:eastAsia="MS Mincho" w:hAnsiTheme="majorHAnsi" w:cs="Arial"/>
                <w:szCs w:val="24"/>
                <w:lang w:val="es-CO" w:eastAsia="es-CO"/>
              </w:rPr>
              <w:t xml:space="preserve"> P</w:t>
            </w:r>
            <w:r w:rsidR="00E60991" w:rsidRPr="00C85AE4">
              <w:rPr>
                <w:rFonts w:asciiTheme="majorHAnsi" w:eastAsia="MS Mincho" w:hAnsiTheme="majorHAnsi" w:cs="Arial"/>
                <w:szCs w:val="24"/>
                <w:lang w:val="es-CO" w:eastAsia="es-CO"/>
              </w:rPr>
              <w:t xml:space="preserve">or tener el mismo supuesto fáctico en una actuación de lo contencioso administrativo y </w:t>
            </w:r>
            <w:r w:rsidR="00692C2C">
              <w:rPr>
                <w:rFonts w:asciiTheme="majorHAnsi" w:eastAsia="MS Mincho" w:hAnsiTheme="majorHAnsi" w:cs="Arial"/>
                <w:szCs w:val="24"/>
                <w:lang w:val="es-CO" w:eastAsia="es-CO"/>
              </w:rPr>
              <w:t xml:space="preserve">en </w:t>
            </w:r>
            <w:r w:rsidR="00E60991" w:rsidRPr="00C85AE4">
              <w:rPr>
                <w:rFonts w:asciiTheme="majorHAnsi" w:eastAsia="MS Mincho" w:hAnsiTheme="majorHAnsi" w:cs="Arial"/>
                <w:szCs w:val="24"/>
                <w:lang w:val="es-CO" w:eastAsia="es-CO"/>
              </w:rPr>
              <w:t>un proceso disciplinario,</w:t>
            </w:r>
            <w:r w:rsidR="00692C2C">
              <w:rPr>
                <w:rFonts w:asciiTheme="majorHAnsi" w:eastAsia="MS Mincho" w:hAnsiTheme="majorHAnsi" w:cs="Arial"/>
                <w:szCs w:val="24"/>
                <w:lang w:val="es-CO" w:eastAsia="es-CO"/>
              </w:rPr>
              <w:t xml:space="preserve"> no</w:t>
            </w:r>
            <w:r w:rsidR="00E60991" w:rsidRPr="00C85AE4">
              <w:rPr>
                <w:rFonts w:asciiTheme="majorHAnsi" w:eastAsia="MS Mincho" w:hAnsiTheme="majorHAnsi" w:cs="Arial"/>
                <w:szCs w:val="24"/>
                <w:lang w:val="es-CO" w:eastAsia="es-CO"/>
              </w:rPr>
              <w:t xml:space="preserve"> se incurre en la violación del principio non bis in ídem</w:t>
            </w:r>
            <w:r w:rsidR="00B7448E" w:rsidRPr="00C85AE4">
              <w:rPr>
                <w:rFonts w:asciiTheme="majorHAnsi" w:eastAsia="MS Mincho" w:hAnsiTheme="majorHAnsi" w:cs="Arial"/>
                <w:szCs w:val="24"/>
                <w:lang w:val="es-CO" w:eastAsia="es-CO"/>
              </w:rPr>
              <w:t>, ya que no existe identidad de causa ni de objeto</w:t>
            </w:r>
            <w:r w:rsidR="00692C2C">
              <w:rPr>
                <w:rFonts w:asciiTheme="majorHAnsi" w:eastAsia="MS Mincho" w:hAnsiTheme="majorHAnsi" w:cs="Arial"/>
                <w:szCs w:val="24"/>
                <w:lang w:val="es-CO" w:eastAsia="es-CO"/>
              </w:rPr>
              <w:t xml:space="preserve">. Así pues, según lo </w:t>
            </w:r>
            <w:r w:rsidR="00A70364" w:rsidRPr="00C85AE4">
              <w:rPr>
                <w:rFonts w:asciiTheme="majorHAnsi" w:eastAsia="MS Mincho" w:hAnsiTheme="majorHAnsi" w:cs="Arial"/>
                <w:szCs w:val="24"/>
                <w:lang w:val="es-CO" w:eastAsia="es-CO"/>
              </w:rPr>
              <w:t>expuesto no se consideró procedente la acción de Tutela.</w:t>
            </w:r>
          </w:p>
          <w:p w:rsidR="00FF034B" w:rsidRPr="00C85AE4" w:rsidRDefault="00FF034B" w:rsidP="00FF034B">
            <w:pPr>
              <w:pStyle w:val="Lista2"/>
              <w:ind w:left="0" w:firstLine="0"/>
              <w:jc w:val="both"/>
              <w:rPr>
                <w:rFonts w:asciiTheme="majorHAnsi" w:eastAsia="MS Mincho" w:hAnsiTheme="majorHAnsi" w:cs="Arial"/>
                <w:szCs w:val="24"/>
                <w:lang w:val="es-CO" w:eastAsia="es-CO"/>
              </w:rPr>
            </w:pP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EXTRACTO </w:t>
            </w:r>
            <w:r w:rsidRPr="0001150E">
              <w:rPr>
                <w:rFonts w:asciiTheme="majorHAnsi" w:hAnsiTheme="majorHAnsi" w:cs="Arial"/>
                <w:b/>
                <w:sz w:val="20"/>
                <w:szCs w:val="20"/>
              </w:rPr>
              <w:t>(se cita textualmente el aparte de la providencia analizada que da respuesta al problema jurídico concreto que orienta la ficha, sin comentarios o anotaciones personales, sin pies de página):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Default="00430FB2" w:rsidP="00430FB2">
            <w:pPr>
              <w:ind w:right="335"/>
              <w:jc w:val="both"/>
              <w:rPr>
                <w:rFonts w:asciiTheme="majorHAnsi" w:hAnsiTheme="majorHAnsi"/>
                <w:i/>
                <w:szCs w:val="28"/>
              </w:rPr>
            </w:pPr>
            <w:r>
              <w:rPr>
                <w:rFonts w:asciiTheme="majorHAnsi" w:hAnsiTheme="majorHAnsi"/>
                <w:i/>
                <w:szCs w:val="28"/>
              </w:rPr>
              <w:t>(...)</w:t>
            </w:r>
          </w:p>
          <w:p w:rsidR="00430FB2" w:rsidRDefault="00430FB2" w:rsidP="00430FB2">
            <w:pPr>
              <w:ind w:right="335"/>
              <w:jc w:val="both"/>
              <w:rPr>
                <w:rFonts w:asciiTheme="majorHAnsi" w:hAnsiTheme="majorHAnsi"/>
                <w:i/>
                <w:szCs w:val="28"/>
              </w:rPr>
            </w:pPr>
            <w:r>
              <w:rPr>
                <w:rFonts w:asciiTheme="majorHAnsi" w:hAnsiTheme="majorHAnsi"/>
                <w:i/>
                <w:szCs w:val="28"/>
              </w:rPr>
              <w:t>“</w:t>
            </w:r>
            <w:r w:rsidRPr="00430FB2">
              <w:rPr>
                <w:rFonts w:asciiTheme="majorHAnsi" w:hAnsiTheme="majorHAnsi"/>
                <w:i/>
                <w:szCs w:val="28"/>
              </w:rPr>
              <w:t>La jurisprudencia  de esta Corte ha señalado que la pérdida de la investidura es una sanción de carácter disciplinario de muy especiales características, por cuanto la competencia para declararla no deviene de una autoridad administrativa sino de una autoridad judicial.  Su especialidad surge, entre otras, que tiene sustento en la Constitución y que tiene un sentido eminentemente ético. En efecto, dicha figura constitucional busca preservar la dignidad del cargo público de elección popular; por ende, la pérdida de la investidura, es uno de los mecanismos de democracia participativa por medio del cual los ciudadanos ejercen directamente control sobre las personas electas, convirtiéndose entonces en un derecho político.</w:t>
            </w:r>
            <w:r>
              <w:rPr>
                <w:rFonts w:asciiTheme="majorHAnsi" w:hAnsiTheme="majorHAnsi"/>
                <w:i/>
                <w:szCs w:val="28"/>
              </w:rPr>
              <w:t>”</w:t>
            </w:r>
          </w:p>
          <w:p w:rsidR="00430FB2" w:rsidRDefault="00430FB2" w:rsidP="00430FB2">
            <w:pPr>
              <w:ind w:right="335"/>
              <w:jc w:val="both"/>
              <w:rPr>
                <w:rFonts w:asciiTheme="majorHAnsi" w:hAnsiTheme="majorHAnsi"/>
                <w:i/>
                <w:sz w:val="28"/>
                <w:szCs w:val="28"/>
              </w:rPr>
            </w:pPr>
          </w:p>
          <w:p w:rsidR="00AF0B22" w:rsidRDefault="00AF0B22" w:rsidP="00430FB2">
            <w:pPr>
              <w:ind w:right="335"/>
              <w:jc w:val="both"/>
              <w:rPr>
                <w:rFonts w:asciiTheme="majorHAnsi" w:hAnsiTheme="majorHAnsi"/>
                <w:i/>
                <w:szCs w:val="28"/>
              </w:rPr>
            </w:pPr>
            <w:r w:rsidRPr="00AF0B22">
              <w:rPr>
                <w:rFonts w:asciiTheme="majorHAnsi" w:hAnsiTheme="majorHAnsi"/>
                <w:i/>
                <w:szCs w:val="28"/>
              </w:rPr>
              <w:t xml:space="preserve">“El principio constitucional del non bis in </w:t>
            </w:r>
            <w:proofErr w:type="spellStart"/>
            <w:r w:rsidRPr="00AF0B22">
              <w:rPr>
                <w:rFonts w:asciiTheme="majorHAnsi" w:hAnsiTheme="majorHAnsi"/>
                <w:i/>
                <w:szCs w:val="28"/>
              </w:rPr>
              <w:t>idem</w:t>
            </w:r>
            <w:proofErr w:type="spellEnd"/>
            <w:r w:rsidRPr="00AF0B22">
              <w:rPr>
                <w:rFonts w:asciiTheme="majorHAnsi" w:hAnsiTheme="majorHAnsi"/>
                <w:i/>
                <w:szCs w:val="28"/>
              </w:rPr>
              <w:t xml:space="preserve">, pretende evitar que una persona sea juzgada dos veces por el mismo hecho.  Para poder establecer la posible vulneración de dicho principio es indispensable constatar que exista identidad de objeto, causa y persona en las dos actuaciones que se comparan.  No basta afirmar que las actuaciones sancionatorias tienen como base los mismos supuestos fácticos.  De ser cierta dicha afirmación, resultaría más que imposible para el Estado iniciar distintos tipos de procedimientos en aras de efectuar diferentes tipos de imputaciones, así se tuvieren como base, los mismos supuestos fácticos. Ciertamente el Estado no podría sancionar un mismo hecho que resulta violatorio de diferentes bienes jurídicos </w:t>
            </w:r>
            <w:r w:rsidRPr="00AF0B22">
              <w:rPr>
                <w:rFonts w:asciiTheme="majorHAnsi" w:hAnsiTheme="majorHAnsi"/>
                <w:i/>
                <w:szCs w:val="28"/>
              </w:rPr>
              <w:lastRenderedPageBreak/>
              <w:t>protegidos constitucionalmente y que dan lugar a imputación penal,  disciplinaria,  fiscal, la política, etc."</w:t>
            </w:r>
          </w:p>
          <w:p w:rsidR="00AF0B22" w:rsidRDefault="00AF0B22" w:rsidP="00430FB2">
            <w:pPr>
              <w:ind w:right="335"/>
              <w:jc w:val="both"/>
              <w:rPr>
                <w:rFonts w:asciiTheme="majorHAnsi" w:hAnsiTheme="majorHAnsi"/>
                <w:i/>
                <w:szCs w:val="28"/>
              </w:rPr>
            </w:pPr>
          </w:p>
          <w:p w:rsidR="00AF0B22" w:rsidRDefault="00AF0B22" w:rsidP="00430FB2">
            <w:pPr>
              <w:ind w:right="335"/>
              <w:jc w:val="both"/>
              <w:rPr>
                <w:rFonts w:asciiTheme="majorHAnsi" w:hAnsiTheme="majorHAnsi"/>
                <w:i/>
                <w:szCs w:val="28"/>
              </w:rPr>
            </w:pPr>
            <w:r w:rsidRPr="00AF0B22">
              <w:rPr>
                <w:rFonts w:asciiTheme="majorHAnsi" w:hAnsiTheme="majorHAnsi"/>
                <w:i/>
                <w:szCs w:val="28"/>
              </w:rPr>
              <w:t>“Es de recordar que la pérdida de la investidura es equiparable por sus efectos y gravedad, a la de destitución de los altos funcionarios públicos.  No obstante, si bien es equiparable a la figura de la Destitución no es lo mismo, por cuanto dicha comparación se circunscribe a los efectos y a la gravedad; esto implica que sustancialmente no son figuran similares sino que producen efectos y tienen connotaciones de gravedad parecidas; que no es lo mismo que afirmar que son iguales.  Es por tales razones que esta Corte ha insistido varias veces en la autonomía del proceso de pérdida de la investidura respecto de otros tipos de procesos donde no se discute lo que en ella se analiza y que por ende pueden dar lugar a sanciones de tipo penal, disciplinario o penal.”</w:t>
            </w:r>
          </w:p>
          <w:p w:rsidR="00AF0B22" w:rsidRDefault="00AF0B22" w:rsidP="00430FB2">
            <w:pPr>
              <w:ind w:right="335"/>
              <w:jc w:val="both"/>
              <w:rPr>
                <w:rFonts w:asciiTheme="majorHAnsi" w:hAnsiTheme="majorHAnsi"/>
                <w:i/>
                <w:szCs w:val="28"/>
              </w:rPr>
            </w:pPr>
          </w:p>
          <w:p w:rsidR="00AF0B22" w:rsidRDefault="00AF0B22" w:rsidP="00430FB2">
            <w:pPr>
              <w:ind w:right="335"/>
              <w:jc w:val="both"/>
              <w:rPr>
                <w:rFonts w:asciiTheme="majorHAnsi" w:hAnsiTheme="majorHAnsi"/>
                <w:i/>
                <w:szCs w:val="28"/>
              </w:rPr>
            </w:pPr>
            <w:r w:rsidRPr="00AF0B22">
              <w:rPr>
                <w:rFonts w:asciiTheme="majorHAnsi" w:hAnsiTheme="majorHAnsi"/>
                <w:i/>
                <w:szCs w:val="28"/>
              </w:rPr>
              <w:t>“Por tal razón, es absolutamente viable, a la luz del entendimiento constituciona</w:t>
            </w:r>
            <w:r>
              <w:rPr>
                <w:rFonts w:asciiTheme="majorHAnsi" w:hAnsiTheme="majorHAnsi"/>
                <w:i/>
                <w:szCs w:val="28"/>
              </w:rPr>
              <w:t>l del principio de “non bis in í</w:t>
            </w:r>
            <w:r w:rsidRPr="00AF0B22">
              <w:rPr>
                <w:rFonts w:asciiTheme="majorHAnsi" w:hAnsiTheme="majorHAnsi"/>
                <w:i/>
                <w:szCs w:val="28"/>
              </w:rPr>
              <w:t>dem” que el legislador otorgue efectos jurídicos en el ámbito de las inhabilidades a las sanciones disciplinarias y, en el mismo sentido, es legítimo que en el régimen disciplinario se prevea como falta el intencional desconocimiento del régimen de inhabilidades pues a pesar de tratarse de dos instituciones diferentes, ellas se encuentran estrechamente relacionadas en tanto procuran asegurar los principios de la función administrativa, en un caso, impidiendo que acceda a ella quien no garantiza la transparencia requerida para su ejercicio, y, en otro, sancionando a quien, ya en él, ha infringido sus deberes funcionales”</w:t>
            </w:r>
          </w:p>
          <w:p w:rsidR="0075582D" w:rsidRPr="00AF0B22" w:rsidRDefault="0075582D" w:rsidP="00430FB2">
            <w:pPr>
              <w:ind w:right="335"/>
              <w:jc w:val="both"/>
              <w:rPr>
                <w:rFonts w:asciiTheme="majorHAnsi" w:hAnsiTheme="majorHAnsi"/>
                <w:i/>
                <w:szCs w:val="28"/>
              </w:rPr>
            </w:pPr>
            <w:bookmarkStart w:id="0" w:name="_GoBack"/>
            <w:bookmarkEnd w:id="0"/>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A97EC7" w:rsidRDefault="00471B94" w:rsidP="00F5018C">
            <w:pPr>
              <w:rPr>
                <w:rFonts w:asciiTheme="majorHAnsi" w:hAnsiTheme="majorHAnsi" w:cs="Arial"/>
                <w:b/>
                <w:sz w:val="20"/>
                <w:szCs w:val="20"/>
              </w:rPr>
            </w:pPr>
            <w:r w:rsidRPr="0001150E">
              <w:rPr>
                <w:rFonts w:asciiTheme="majorHAnsi" w:hAnsiTheme="majorHAnsi" w:cs="Arial"/>
                <w:b/>
              </w:rPr>
              <w:lastRenderedPageBreak/>
              <w:t xml:space="preserve">SALVAMENTO DE VOTO </w:t>
            </w:r>
            <w:r w:rsidRPr="0001150E">
              <w:rPr>
                <w:rFonts w:asciiTheme="majorHAnsi" w:hAnsiTheme="majorHAnsi" w:cs="Arial"/>
                <w:b/>
                <w:sz w:val="20"/>
                <w:szCs w:val="20"/>
              </w:rPr>
              <w:t>(si aplica*, se identifica al magistrado que salvó y la votación):</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*TESIS JURÍDICA DEL SALVAMENTO </w:t>
            </w:r>
            <w:r w:rsidRPr="0001150E">
              <w:rPr>
                <w:rFonts w:asciiTheme="majorHAnsi" w:hAnsiTheme="majorHAnsi" w:cs="Arial"/>
                <w:b/>
                <w:sz w:val="20"/>
                <w:szCs w:val="20"/>
              </w:rPr>
              <w:t>(es el resumen del extracto del salvamento y debe guardar coherencia con el problema jurídico concreto que orienta la ficha):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471B94" w:rsidP="00F5018C">
            <w:pPr>
              <w:rPr>
                <w:rFonts w:asciiTheme="majorHAnsi" w:hAnsiTheme="majorHAnsi" w:cs="Arial"/>
              </w:rPr>
            </w:pP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*EXTRACTO DEL SALVAMENTO </w:t>
            </w:r>
            <w:r w:rsidRPr="0001150E">
              <w:rPr>
                <w:rFonts w:asciiTheme="majorHAnsi" w:hAnsiTheme="majorHAnsi" w:cs="Arial"/>
                <w:b/>
                <w:sz w:val="20"/>
                <w:szCs w:val="20"/>
              </w:rPr>
              <w:t>(se cita textualmente el aparte del salvamento que cuestiona o se aparta de la solución jurídica dada por la providencia problema jurídico concreto que orienta la ficha, sin comentarios o anotaciones personales):</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471B94" w:rsidP="00F5018C">
            <w:pPr>
              <w:ind w:right="335"/>
              <w:jc w:val="both"/>
              <w:rPr>
                <w:rFonts w:asciiTheme="majorHAnsi" w:hAnsiTheme="majorHAnsi" w:cs="Arial"/>
              </w:rPr>
            </w:pP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ACLARACIÓN DE VOTO </w:t>
            </w:r>
            <w:r w:rsidRPr="0001150E">
              <w:rPr>
                <w:rFonts w:asciiTheme="majorHAnsi" w:hAnsiTheme="majorHAnsi" w:cs="Arial"/>
                <w:b/>
                <w:sz w:val="20"/>
                <w:szCs w:val="20"/>
              </w:rPr>
              <w:t>(si aplica** se identifica al magistrado que aclaró y la votación):</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471B94" w:rsidP="00F5018C">
            <w:pPr>
              <w:rPr>
                <w:rFonts w:asciiTheme="majorHAnsi" w:hAnsiTheme="majorHAnsi" w:cs="Arial"/>
              </w:rPr>
            </w:pPr>
            <w:r w:rsidRPr="0001150E">
              <w:rPr>
                <w:rFonts w:asciiTheme="majorHAnsi" w:hAnsiTheme="majorHAnsi" w:cs="Arial"/>
              </w:rPr>
              <w:t xml:space="preserve">N/A </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**TESIS JURÍDICA DE LA ACLARACIÓN </w:t>
            </w:r>
            <w:r w:rsidRPr="0001150E">
              <w:rPr>
                <w:rFonts w:asciiTheme="majorHAnsi" w:hAnsiTheme="majorHAnsi" w:cs="Arial"/>
                <w:b/>
                <w:sz w:val="20"/>
                <w:szCs w:val="20"/>
              </w:rPr>
              <w:t>(es el resumen del extracto de la aclaración y debe guardar coherencia con el problema jurídico concreto que orienta la ficha):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471B94" w:rsidP="00F5018C">
            <w:pPr>
              <w:jc w:val="both"/>
              <w:rPr>
                <w:rFonts w:asciiTheme="majorHAnsi" w:hAnsiTheme="majorHAnsi" w:cs="Arial"/>
              </w:rPr>
            </w:pPr>
            <w:r w:rsidRPr="0001150E">
              <w:rPr>
                <w:rFonts w:asciiTheme="majorHAnsi" w:hAnsiTheme="majorHAnsi" w:cs="Arial"/>
              </w:rPr>
              <w:t>N/A</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B94" w:rsidRPr="0001150E" w:rsidRDefault="00471B94" w:rsidP="00F5018C">
            <w:pPr>
              <w:rPr>
                <w:rFonts w:asciiTheme="majorHAnsi" w:hAnsiTheme="majorHAnsi" w:cs="Arial"/>
                <w:b/>
              </w:rPr>
            </w:pPr>
            <w:r w:rsidRPr="0001150E">
              <w:rPr>
                <w:rFonts w:asciiTheme="majorHAnsi" w:hAnsiTheme="majorHAnsi" w:cs="Arial"/>
                <w:b/>
              </w:rPr>
              <w:t xml:space="preserve">**EXTRACTO DE LA ACLARACIÓN </w:t>
            </w:r>
            <w:r w:rsidRPr="0001150E">
              <w:rPr>
                <w:rFonts w:asciiTheme="majorHAnsi" w:hAnsiTheme="majorHAnsi" w:cs="Arial"/>
                <w:b/>
                <w:sz w:val="20"/>
                <w:szCs w:val="20"/>
              </w:rPr>
              <w:t>(se cita textualmente el aparte del salvamento que cuestiona o se aparta de la solución jurídica dada por la providencia problema jurídico concreto que orienta la ficha, sin comentarios o anotaciones personales):</w:t>
            </w:r>
          </w:p>
        </w:tc>
      </w:tr>
      <w:tr w:rsidR="00471B94" w:rsidRPr="0001150E" w:rsidTr="00F5018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94" w:rsidRPr="0001150E" w:rsidRDefault="00471B94" w:rsidP="00F5018C">
            <w:pPr>
              <w:tabs>
                <w:tab w:val="left" w:pos="3170"/>
              </w:tabs>
              <w:overflowPunct w:val="0"/>
              <w:autoSpaceDE w:val="0"/>
              <w:autoSpaceDN w:val="0"/>
              <w:adjustRightInd w:val="0"/>
              <w:jc w:val="both"/>
              <w:textAlignment w:val="baseline"/>
              <w:rPr>
                <w:rFonts w:asciiTheme="majorHAnsi" w:hAnsiTheme="majorHAnsi" w:cs="Arial"/>
              </w:rPr>
            </w:pPr>
            <w:r w:rsidRPr="0001150E">
              <w:rPr>
                <w:rFonts w:asciiTheme="majorHAnsi" w:hAnsiTheme="majorHAnsi" w:cs="Arial"/>
              </w:rPr>
              <w:t xml:space="preserve"> N/A</w:t>
            </w:r>
          </w:p>
          <w:p w:rsidR="00471B94" w:rsidRPr="0001150E" w:rsidRDefault="00471B94" w:rsidP="00F5018C">
            <w:pPr>
              <w:jc w:val="both"/>
              <w:rPr>
                <w:rFonts w:asciiTheme="majorHAnsi" w:hAnsiTheme="majorHAnsi" w:cs="Arial"/>
              </w:rPr>
            </w:pPr>
          </w:p>
        </w:tc>
      </w:tr>
    </w:tbl>
    <w:p w:rsidR="00471B94" w:rsidRPr="0001150E" w:rsidRDefault="00471B94" w:rsidP="00471B94">
      <w:pPr>
        <w:rPr>
          <w:rFonts w:asciiTheme="majorHAnsi" w:hAnsiTheme="majorHAnsi"/>
        </w:rPr>
      </w:pPr>
    </w:p>
    <w:tbl>
      <w:tblPr>
        <w:tblStyle w:val="Tablaconcuadrcula"/>
        <w:tblW w:w="0" w:type="auto"/>
        <w:tblInd w:w="846" w:type="dxa"/>
        <w:tblLook w:val="04A0" w:firstRow="1" w:lastRow="0" w:firstColumn="1" w:lastColumn="0" w:noHBand="0" w:noVBand="1"/>
      </w:tblPr>
      <w:tblGrid>
        <w:gridCol w:w="1271"/>
        <w:gridCol w:w="7943"/>
      </w:tblGrid>
      <w:tr w:rsidR="00471B94" w:rsidRPr="0001150E" w:rsidTr="00F5018C">
        <w:tc>
          <w:tcPr>
            <w:tcW w:w="1271" w:type="dxa"/>
            <w:shd w:val="clear" w:color="auto" w:fill="BFBFBF" w:themeFill="background1" w:themeFillShade="BF"/>
            <w:vAlign w:val="center"/>
          </w:tcPr>
          <w:p w:rsidR="00471B94" w:rsidRPr="0001150E" w:rsidRDefault="00471B94" w:rsidP="00F5018C">
            <w:pPr>
              <w:jc w:val="center"/>
              <w:rPr>
                <w:rFonts w:asciiTheme="majorHAnsi" w:hAnsiTheme="majorHAnsi"/>
              </w:rPr>
            </w:pPr>
            <w:r w:rsidRPr="0001150E">
              <w:rPr>
                <w:rFonts w:asciiTheme="majorHAnsi" w:hAnsiTheme="majorHAnsi" w:cs="Arial"/>
                <w:b/>
              </w:rPr>
              <w:t>Elaboró:</w:t>
            </w:r>
          </w:p>
        </w:tc>
        <w:tc>
          <w:tcPr>
            <w:tcW w:w="7943" w:type="dxa"/>
            <w:shd w:val="clear" w:color="auto" w:fill="F2F2F2" w:themeFill="background1" w:themeFillShade="F2"/>
          </w:tcPr>
          <w:p w:rsidR="00471B94" w:rsidRPr="0001150E" w:rsidRDefault="00471B94" w:rsidP="00F5018C">
            <w:pPr>
              <w:rPr>
                <w:rFonts w:asciiTheme="majorHAnsi" w:hAnsiTheme="majorHAnsi"/>
              </w:rPr>
            </w:pPr>
            <w:r>
              <w:rPr>
                <w:rFonts w:asciiTheme="majorHAnsi" w:hAnsiTheme="majorHAnsi"/>
              </w:rPr>
              <w:t>Valeria Borda Naranjo.</w:t>
            </w:r>
          </w:p>
        </w:tc>
      </w:tr>
      <w:tr w:rsidR="00471B94" w:rsidRPr="0001150E" w:rsidTr="00F5018C">
        <w:tc>
          <w:tcPr>
            <w:tcW w:w="1271" w:type="dxa"/>
            <w:shd w:val="clear" w:color="auto" w:fill="BFBFBF" w:themeFill="background1" w:themeFillShade="BF"/>
            <w:vAlign w:val="center"/>
          </w:tcPr>
          <w:p w:rsidR="00471B94" w:rsidRPr="0001150E" w:rsidRDefault="00471B94" w:rsidP="00F5018C">
            <w:pPr>
              <w:jc w:val="center"/>
              <w:rPr>
                <w:rFonts w:asciiTheme="majorHAnsi" w:hAnsiTheme="majorHAnsi" w:cs="Arial"/>
                <w:b/>
              </w:rPr>
            </w:pPr>
            <w:r w:rsidRPr="0001150E">
              <w:rPr>
                <w:rFonts w:asciiTheme="majorHAnsi" w:hAnsiTheme="majorHAnsi" w:cs="Arial"/>
                <w:b/>
              </w:rPr>
              <w:t>Revisó y aprobó:</w:t>
            </w:r>
          </w:p>
        </w:tc>
        <w:tc>
          <w:tcPr>
            <w:tcW w:w="7943" w:type="dxa"/>
            <w:shd w:val="clear" w:color="auto" w:fill="F2F2F2" w:themeFill="background1" w:themeFillShade="F2"/>
          </w:tcPr>
          <w:p w:rsidR="00471B94" w:rsidRPr="0001150E" w:rsidRDefault="0075582D" w:rsidP="00F5018C">
            <w:pPr>
              <w:rPr>
                <w:rFonts w:asciiTheme="majorHAnsi" w:hAnsiTheme="majorHAnsi"/>
              </w:rPr>
            </w:pPr>
            <w:r w:rsidRPr="0075582D">
              <w:rPr>
                <w:rFonts w:asciiTheme="majorHAnsi" w:hAnsiTheme="majorHAnsi"/>
              </w:rPr>
              <w:t>Sandra Lucia Barriga Moreno</w:t>
            </w:r>
          </w:p>
        </w:tc>
      </w:tr>
    </w:tbl>
    <w:p w:rsidR="00540F11" w:rsidRDefault="00230952"/>
    <w:sectPr w:rsidR="00540F11" w:rsidSect="00A163FF">
      <w:headerReference w:type="default" r:id="rId7"/>
      <w:footerReference w:type="default" r:id="rId8"/>
      <w:pgSz w:w="12240" w:h="15840" w:code="1"/>
      <w:pgMar w:top="720" w:right="720" w:bottom="720" w:left="720"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952" w:rsidRDefault="00230952">
      <w:r>
        <w:separator/>
      </w:r>
    </w:p>
  </w:endnote>
  <w:endnote w:type="continuationSeparator" w:id="0">
    <w:p w:rsidR="00230952" w:rsidRDefault="0023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18" w:rsidRDefault="00230952">
    <w:pPr>
      <w:pStyle w:val="Piedepgina"/>
      <w:rPr>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E6018" w:rsidRPr="00D95B03" w:rsidTr="00D95B03">
      <w:tc>
        <w:tcPr>
          <w:tcW w:w="3596" w:type="dxa"/>
          <w:vAlign w:val="center"/>
        </w:tcPr>
        <w:p w:rsidR="006E6018" w:rsidRPr="00D95B03" w:rsidRDefault="00471B94" w:rsidP="00D95B03">
          <w:pPr>
            <w:pStyle w:val="Piedepgina"/>
            <w:jc w:val="center"/>
            <w:rPr>
              <w:rFonts w:asciiTheme="majorHAnsi" w:hAnsiTheme="majorHAnsi"/>
              <w:sz w:val="18"/>
              <w:szCs w:val="16"/>
            </w:rPr>
          </w:pPr>
          <w:r w:rsidRPr="00D95B03">
            <w:rPr>
              <w:rFonts w:asciiTheme="majorHAnsi" w:hAnsiTheme="majorHAnsi"/>
              <w:sz w:val="18"/>
            </w:rPr>
            <w:t xml:space="preserve">Código: </w:t>
          </w:r>
          <w:r>
            <w:rPr>
              <w:rFonts w:asciiTheme="majorHAnsi" w:hAnsiTheme="majorHAnsi"/>
              <w:color w:val="000000"/>
              <w:sz w:val="18"/>
            </w:rPr>
            <w:t>GP-F-01 V-0</w:t>
          </w:r>
        </w:p>
      </w:tc>
      <w:tc>
        <w:tcPr>
          <w:tcW w:w="3597" w:type="dxa"/>
          <w:vAlign w:val="center"/>
        </w:tcPr>
        <w:p w:rsidR="006E6018" w:rsidRPr="00D95B03" w:rsidRDefault="00230952" w:rsidP="00D95B03">
          <w:pPr>
            <w:pStyle w:val="Piedepgina"/>
            <w:jc w:val="center"/>
            <w:rPr>
              <w:rFonts w:asciiTheme="majorHAnsi" w:hAnsiTheme="majorHAnsi"/>
              <w:sz w:val="18"/>
              <w:szCs w:val="16"/>
            </w:rPr>
          </w:pPr>
        </w:p>
      </w:tc>
      <w:tc>
        <w:tcPr>
          <w:tcW w:w="3597" w:type="dxa"/>
          <w:vAlign w:val="center"/>
        </w:tcPr>
        <w:sdt>
          <w:sdtPr>
            <w:rPr>
              <w:rFonts w:asciiTheme="majorHAnsi" w:hAnsiTheme="majorHAnsi"/>
              <w:sz w:val="18"/>
              <w:lang w:val="es-ES"/>
            </w:rPr>
            <w:id w:val="-995869099"/>
            <w:docPartObj>
              <w:docPartGallery w:val="Page Numbers (Top of Page)"/>
              <w:docPartUnique/>
            </w:docPartObj>
          </w:sdtPr>
          <w:sdtEndPr/>
          <w:sdtContent>
            <w:p w:rsidR="006E6018" w:rsidRPr="00D95B03" w:rsidRDefault="00471B94" w:rsidP="00D95B03">
              <w:pPr>
                <w:jc w:val="center"/>
                <w:rPr>
                  <w:rFonts w:asciiTheme="majorHAnsi" w:hAnsiTheme="majorHAnsi"/>
                  <w:sz w:val="18"/>
                  <w:lang w:val="es-ES"/>
                </w:rPr>
              </w:pPr>
              <w:r w:rsidRPr="00D95B03">
                <w:rPr>
                  <w:rFonts w:asciiTheme="majorHAnsi" w:hAnsiTheme="majorHAnsi"/>
                  <w:sz w:val="18"/>
                  <w:lang w:val="es-ES"/>
                </w:rPr>
                <w:t xml:space="preserve">Página </w:t>
              </w:r>
              <w:r w:rsidRPr="00D95B03">
                <w:rPr>
                  <w:rFonts w:asciiTheme="majorHAnsi" w:hAnsiTheme="majorHAnsi"/>
                  <w:sz w:val="18"/>
                  <w:lang w:val="es-ES"/>
                </w:rPr>
                <w:fldChar w:fldCharType="begin"/>
              </w:r>
              <w:r w:rsidRPr="00D95B03">
                <w:rPr>
                  <w:rFonts w:asciiTheme="majorHAnsi" w:hAnsiTheme="majorHAnsi"/>
                  <w:sz w:val="18"/>
                  <w:lang w:val="es-ES"/>
                </w:rPr>
                <w:instrText xml:space="preserve"> PAGE </w:instrText>
              </w:r>
              <w:r w:rsidRPr="00D95B03">
                <w:rPr>
                  <w:rFonts w:asciiTheme="majorHAnsi" w:hAnsiTheme="majorHAnsi"/>
                  <w:sz w:val="18"/>
                  <w:lang w:val="es-ES"/>
                </w:rPr>
                <w:fldChar w:fldCharType="separate"/>
              </w:r>
              <w:r w:rsidR="0075582D">
                <w:rPr>
                  <w:rFonts w:asciiTheme="majorHAnsi" w:hAnsiTheme="majorHAnsi"/>
                  <w:noProof/>
                  <w:sz w:val="18"/>
                  <w:lang w:val="es-ES"/>
                </w:rPr>
                <w:t>3</w:t>
              </w:r>
              <w:r w:rsidRPr="00D95B03">
                <w:rPr>
                  <w:rFonts w:asciiTheme="majorHAnsi" w:hAnsiTheme="majorHAnsi"/>
                  <w:sz w:val="18"/>
                  <w:lang w:val="es-ES"/>
                </w:rPr>
                <w:fldChar w:fldCharType="end"/>
              </w:r>
              <w:r w:rsidRPr="00D95B03">
                <w:rPr>
                  <w:rFonts w:asciiTheme="majorHAnsi" w:hAnsiTheme="majorHAnsi"/>
                  <w:sz w:val="18"/>
                  <w:lang w:val="es-ES"/>
                </w:rPr>
                <w:t xml:space="preserve"> de </w:t>
              </w:r>
              <w:r w:rsidRPr="00D95B03">
                <w:rPr>
                  <w:rFonts w:asciiTheme="majorHAnsi" w:hAnsiTheme="majorHAnsi"/>
                  <w:sz w:val="18"/>
                  <w:lang w:val="es-ES"/>
                </w:rPr>
                <w:fldChar w:fldCharType="begin"/>
              </w:r>
              <w:r w:rsidRPr="00D95B03">
                <w:rPr>
                  <w:rFonts w:asciiTheme="majorHAnsi" w:hAnsiTheme="majorHAnsi"/>
                  <w:sz w:val="18"/>
                  <w:lang w:val="es-ES"/>
                </w:rPr>
                <w:instrText xml:space="preserve"> NUMPAGES  </w:instrText>
              </w:r>
              <w:r w:rsidRPr="00D95B03">
                <w:rPr>
                  <w:rFonts w:asciiTheme="majorHAnsi" w:hAnsiTheme="majorHAnsi"/>
                  <w:sz w:val="18"/>
                  <w:lang w:val="es-ES"/>
                </w:rPr>
                <w:fldChar w:fldCharType="separate"/>
              </w:r>
              <w:r w:rsidR="0075582D">
                <w:rPr>
                  <w:rFonts w:asciiTheme="majorHAnsi" w:hAnsiTheme="majorHAnsi"/>
                  <w:noProof/>
                  <w:sz w:val="18"/>
                  <w:lang w:val="es-ES"/>
                </w:rPr>
                <w:t>3</w:t>
              </w:r>
              <w:r w:rsidRPr="00D95B03">
                <w:rPr>
                  <w:rFonts w:asciiTheme="majorHAnsi" w:hAnsiTheme="majorHAnsi"/>
                  <w:sz w:val="18"/>
                  <w:lang w:val="es-ES"/>
                </w:rPr>
                <w:fldChar w:fldCharType="end"/>
              </w:r>
            </w:p>
          </w:sdtContent>
        </w:sdt>
      </w:tc>
    </w:tr>
  </w:tbl>
  <w:p w:rsidR="006E6018" w:rsidRPr="00D95B03" w:rsidRDefault="00230952" w:rsidP="00D95B03">
    <w:pPr>
      <w:pStyle w:val="Piedepgina"/>
      <w:rPr>
        <w:rFonts w:asciiTheme="majorHAnsi" w:hAnsiTheme="maj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952" w:rsidRDefault="00230952">
      <w:r>
        <w:separator/>
      </w:r>
    </w:p>
  </w:footnote>
  <w:footnote w:type="continuationSeparator" w:id="0">
    <w:p w:rsidR="00230952" w:rsidRDefault="0023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2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0"/>
    </w:tblGrid>
    <w:tr w:rsidR="008F67F8" w:rsidTr="008F67F8">
      <w:tc>
        <w:tcPr>
          <w:tcW w:w="5970" w:type="dxa"/>
          <w:vAlign w:val="center"/>
        </w:tcPr>
        <w:p w:rsidR="008F67F8" w:rsidRPr="0078118B" w:rsidRDefault="00471B94" w:rsidP="008F67F8">
          <w:pPr>
            <w:jc w:val="center"/>
            <w:rPr>
              <w:rFonts w:asciiTheme="majorHAnsi" w:hAnsiTheme="majorHAnsi"/>
              <w:b/>
            </w:rPr>
          </w:pPr>
          <w:r>
            <w:rPr>
              <w:rFonts w:asciiTheme="majorHAnsi" w:hAnsiTheme="majorHAnsi"/>
              <w:b/>
            </w:rPr>
            <w:t>FICHA DE ANÁLISIS JURISPRUDENCIAL</w:t>
          </w:r>
        </w:p>
      </w:tc>
    </w:tr>
  </w:tbl>
  <w:p w:rsidR="006E6018" w:rsidRDefault="00230952" w:rsidP="00476AA4">
    <w:pPr>
      <w:rPr>
        <w:rFonts w:asciiTheme="majorHAnsi" w:hAnsiTheme="maj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B94"/>
    <w:rsid w:val="00075261"/>
    <w:rsid w:val="000B519B"/>
    <w:rsid w:val="000E1AC5"/>
    <w:rsid w:val="0016382B"/>
    <w:rsid w:val="001A6D6A"/>
    <w:rsid w:val="00200E90"/>
    <w:rsid w:val="00230952"/>
    <w:rsid w:val="002615DC"/>
    <w:rsid w:val="00352483"/>
    <w:rsid w:val="00402EF4"/>
    <w:rsid w:val="0040748B"/>
    <w:rsid w:val="00421A7A"/>
    <w:rsid w:val="00430FB2"/>
    <w:rsid w:val="00471B94"/>
    <w:rsid w:val="0065330B"/>
    <w:rsid w:val="00692C2C"/>
    <w:rsid w:val="0075582D"/>
    <w:rsid w:val="00780B3D"/>
    <w:rsid w:val="0078236A"/>
    <w:rsid w:val="00813A82"/>
    <w:rsid w:val="00893656"/>
    <w:rsid w:val="008D4DA3"/>
    <w:rsid w:val="008E25B3"/>
    <w:rsid w:val="00A70364"/>
    <w:rsid w:val="00A727D7"/>
    <w:rsid w:val="00AF0B22"/>
    <w:rsid w:val="00B54F43"/>
    <w:rsid w:val="00B7448E"/>
    <w:rsid w:val="00BD31FA"/>
    <w:rsid w:val="00C85AE4"/>
    <w:rsid w:val="00C86BA3"/>
    <w:rsid w:val="00E60991"/>
    <w:rsid w:val="00F24810"/>
    <w:rsid w:val="00FA744D"/>
    <w:rsid w:val="00FF03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B94"/>
    <w:pPr>
      <w:spacing w:after="0" w:line="240" w:lineRule="auto"/>
    </w:pPr>
    <w:rPr>
      <w:rFonts w:ascii="Times New Roman" w:eastAsia="MS Mincho"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71B94"/>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471B94"/>
  </w:style>
  <w:style w:type="table" w:styleId="Tablaconcuadrcula">
    <w:name w:val="Table Grid"/>
    <w:basedOn w:val="Tablanormal"/>
    <w:uiPriority w:val="39"/>
    <w:rsid w:val="00471B94"/>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rsid w:val="00471B94"/>
    <w:pPr>
      <w:overflowPunct w:val="0"/>
      <w:autoSpaceDE w:val="0"/>
      <w:autoSpaceDN w:val="0"/>
      <w:adjustRightInd w:val="0"/>
      <w:ind w:left="566" w:hanging="283"/>
      <w:textAlignment w:val="baseline"/>
    </w:pPr>
    <w:rPr>
      <w:rFonts w:ascii="Century Gothic" w:eastAsia="Times New Roman" w:hAnsi="Century Gothic"/>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B94"/>
    <w:pPr>
      <w:spacing w:after="0" w:line="240" w:lineRule="auto"/>
    </w:pPr>
    <w:rPr>
      <w:rFonts w:ascii="Times New Roman" w:eastAsia="MS Mincho"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71B94"/>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471B94"/>
  </w:style>
  <w:style w:type="table" w:styleId="Tablaconcuadrcula">
    <w:name w:val="Table Grid"/>
    <w:basedOn w:val="Tablanormal"/>
    <w:uiPriority w:val="39"/>
    <w:rsid w:val="00471B94"/>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rsid w:val="00471B94"/>
    <w:pPr>
      <w:overflowPunct w:val="0"/>
      <w:autoSpaceDE w:val="0"/>
      <w:autoSpaceDN w:val="0"/>
      <w:adjustRightInd w:val="0"/>
      <w:ind w:left="566" w:hanging="283"/>
      <w:textAlignment w:val="baseline"/>
    </w:pPr>
    <w:rPr>
      <w:rFonts w:ascii="Century Gothic" w:eastAsia="Times New Roman" w:hAnsi="Century Gothic"/>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6991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Djuridica Sala  de Juntas</dc:creator>
  <cp:lastModifiedBy>Sandra Lucia Barriga Moreno</cp:lastModifiedBy>
  <cp:revision>2</cp:revision>
  <dcterms:created xsi:type="dcterms:W3CDTF">2019-09-25T15:15:00Z</dcterms:created>
  <dcterms:modified xsi:type="dcterms:W3CDTF">2019-09-25T15:15:00Z</dcterms:modified>
</cp:coreProperties>
</file>