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B0" w:rsidRPr="00B25912" w:rsidRDefault="005B2BB0" w:rsidP="005B2BB0">
      <w:pPr>
        <w:pStyle w:val="Ttulo2"/>
        <w:jc w:val="both"/>
      </w:pPr>
      <w:bookmarkStart w:id="0" w:name="_Toc504664309"/>
      <w:bookmarkStart w:id="1" w:name="_Toc504664405"/>
      <w:r w:rsidRPr="00B25912">
        <w:t>MODIFICACIÓN DE PLANTA EN EL ORDEN NACIONAL</w:t>
      </w:r>
      <w:bookmarkEnd w:id="0"/>
      <w:bookmarkEnd w:id="1"/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DECRETO No. _____ DE ______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(FECHA DEL DECRETO)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Por el cual se modifica la planta de personal de (entidad)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EL PRESIDENTE DE LA REPÚBLICA DE COLOMBIA,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en ejercicio de las facultades que le confiere el numeral 14 del artículo 189 de la Constitución Política y el artículo 115 de la Ley 489 de 1998, 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CONSIDERANDO: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Que (nombre del organismo o entidad) presentó al Departamento Administrativo de la Función Pública el estudio técnico de que trata el artículo 46 de la </w:t>
      </w:r>
      <w:hyperlink r:id="rId7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, modificado por el artículo 228 del </w:t>
      </w:r>
      <w:hyperlink r:id="rId8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Ley 19 de 2012</w:t>
        </w:r>
      </w:hyperlink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 y los artículos </w:t>
      </w:r>
      <w:r w:rsidRPr="00DB4A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2.2.12.1</w:t>
      </w:r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DB4A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2.2.12.2</w:t>
      </w:r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DB4A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</w:t>
      </w:r>
      <w:r w:rsidR="0029448F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3</w:t>
      </w:r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 del </w:t>
      </w:r>
      <w:hyperlink r:id="rId9" w:anchor="temas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1083 de 20</w:t>
        </w:r>
        <w:r w:rsidR="0029448F">
          <w:rPr>
            <w:rStyle w:val="Hipervnculo"/>
            <w:rFonts w:ascii="Arial" w:hAnsi="Arial" w:cs="Arial"/>
            <w:bCs/>
            <w:sz w:val="24"/>
            <w:szCs w:val="24"/>
          </w:rPr>
          <w:t>1</w:t>
        </w:r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5</w:t>
        </w:r>
      </w:hyperlink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 para efectos de establecer su planta de personal.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Que el Departamento Administrativo de la Función Pública encontró los estudios ajustados desde el punto de vista técnico y emitió, en consecuencia, concepto técnico favorable para la modificación de la planta de personal de la (Entidad).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(nombre de la entidad), </w:t>
      </w:r>
      <w:r w:rsidR="0029448F">
        <w:rPr>
          <w:rFonts w:ascii="Arial" w:hAnsi="Arial" w:cs="Arial"/>
          <w:bCs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bCs/>
          <w:color w:val="000000"/>
          <w:sz w:val="24"/>
          <w:szCs w:val="24"/>
        </w:rPr>
        <w:t>el propósito de modificar su planta de personal, cuenta con el certificado de viabilidad presupuestal de la Dirección General del Presupuesto Público Nacional del Ministerio de Hacienda y Crédito Público.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Que la (Junta Directiva o Consejo Directivo) del (nombre de la entidad), en la sesión del (día) del (mes) de (año) según consta en el Acta No. (_____) de (fecha), decidió someter a la aprobación del Gobierno Nacional la modificación de su planta de personal. (</w:t>
      </w:r>
      <w:proofErr w:type="spellStart"/>
      <w:r w:rsidRPr="00DB4A4D">
        <w:rPr>
          <w:rFonts w:ascii="Arial" w:hAnsi="Arial" w:cs="Arial"/>
          <w:bCs/>
          <w:color w:val="000000"/>
          <w:sz w:val="24"/>
          <w:szCs w:val="24"/>
        </w:rPr>
        <w:t>Este</w:t>
      </w:r>
      <w:proofErr w:type="spellEnd"/>
      <w:r w:rsidRPr="00DB4A4D">
        <w:rPr>
          <w:rFonts w:ascii="Arial" w:hAnsi="Arial" w:cs="Arial"/>
          <w:bCs/>
          <w:color w:val="000000"/>
          <w:sz w:val="24"/>
          <w:szCs w:val="24"/>
        </w:rPr>
        <w:t xml:space="preserve"> considerando se incluye si se trata de una entidad descentralizada)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DB4A4D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A4D">
        <w:rPr>
          <w:rFonts w:ascii="Arial" w:hAnsi="Arial" w:cs="Arial"/>
          <w:b/>
          <w:sz w:val="24"/>
          <w:szCs w:val="24"/>
        </w:rPr>
        <w:t xml:space="preserve">Artículo 1. </w:t>
      </w:r>
      <w:r w:rsidRPr="00DB4A4D">
        <w:rPr>
          <w:rFonts w:ascii="Arial" w:hAnsi="Arial" w:cs="Arial"/>
          <w:b/>
          <w:i/>
          <w:sz w:val="24"/>
          <w:szCs w:val="24"/>
        </w:rPr>
        <w:t>Supresión de empleos.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DB4A4D">
        <w:rPr>
          <w:rFonts w:ascii="Arial" w:hAnsi="Arial" w:cs="Arial"/>
          <w:bCs/>
          <w:color w:val="000000"/>
          <w:sz w:val="24"/>
          <w:szCs w:val="24"/>
        </w:rPr>
        <w:t>Suprimir de la planta de personal de (nombre del organismo o entidad) los siguientes cargos:</w:t>
      </w: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5B2BB0" w:rsidRPr="008B3D9F" w:rsidTr="00C6213D">
        <w:trPr>
          <w:trHeight w:val="55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5B2BB0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DEPENDENCIA</w:t>
            </w: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2BB0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5B2BB0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27FF9">
        <w:rPr>
          <w:rFonts w:ascii="Arial" w:hAnsi="Arial" w:cs="Arial"/>
          <w:b/>
          <w:sz w:val="24"/>
          <w:szCs w:val="24"/>
        </w:rPr>
        <w:t xml:space="preserve">Artículo 2. </w:t>
      </w:r>
      <w:r w:rsidRPr="00527FF9">
        <w:rPr>
          <w:rFonts w:ascii="Arial" w:hAnsi="Arial" w:cs="Arial"/>
          <w:b/>
          <w:i/>
          <w:sz w:val="24"/>
          <w:szCs w:val="24"/>
        </w:rPr>
        <w:t>Creación de empleos.</w:t>
      </w:r>
      <w:r w:rsidRPr="00527FF9">
        <w:rPr>
          <w:rFonts w:ascii="Arial" w:hAnsi="Arial" w:cs="Arial"/>
          <w:b/>
          <w:sz w:val="24"/>
          <w:szCs w:val="24"/>
        </w:rPr>
        <w:t xml:space="preserve"> </w:t>
      </w:r>
      <w:r w:rsidRPr="00527FF9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ear</w:t>
      </w:r>
      <w:r w:rsidRPr="00527FF9">
        <w:rPr>
          <w:rFonts w:ascii="Arial" w:hAnsi="Arial" w:cs="Arial"/>
          <w:sz w:val="24"/>
          <w:szCs w:val="24"/>
        </w:rPr>
        <w:t xml:space="preserve"> los siguientes empleos en la planta de personal de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(nombre del organismo o entidad)</w:t>
      </w:r>
      <w:r w:rsidRPr="00527FF9">
        <w:rPr>
          <w:rFonts w:ascii="Arial" w:hAnsi="Arial" w:cs="Arial"/>
          <w:sz w:val="24"/>
          <w:szCs w:val="24"/>
        </w:rPr>
        <w:t>, así: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5B2BB0" w:rsidRPr="008B3D9F" w:rsidTr="00C6213D">
        <w:trPr>
          <w:trHeight w:val="55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5B2BB0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DEPENDENCIA</w:t>
            </w: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2BB0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5B2BB0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5F24">
        <w:rPr>
          <w:rFonts w:ascii="Arial" w:hAnsi="Arial" w:cs="Arial"/>
          <w:b/>
          <w:sz w:val="24"/>
          <w:szCs w:val="24"/>
        </w:rPr>
        <w:t>Parágrafo t</w:t>
      </w:r>
      <w:r w:rsidRPr="00527FF9">
        <w:rPr>
          <w:rFonts w:ascii="Arial" w:hAnsi="Arial" w:cs="Arial"/>
          <w:b/>
          <w:sz w:val="24"/>
          <w:szCs w:val="24"/>
        </w:rPr>
        <w:t>ransitorio.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siguientes empleos, al estar ocupados por empleados con fuero sindical, quedarán suprimidos de forma automática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l momento del vencimiento del fuero sindical 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partir de la ejecutoria de la sentencia que </w:t>
      </w:r>
      <w:r>
        <w:rPr>
          <w:rFonts w:ascii="Arial" w:hAnsi="Arial" w:cs="Arial"/>
          <w:bCs/>
          <w:color w:val="000000"/>
          <w:sz w:val="24"/>
          <w:szCs w:val="24"/>
        </w:rPr>
        <w:t>lo levante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5B2BB0" w:rsidRPr="008B3D9F" w:rsidTr="00C6213D">
        <w:trPr>
          <w:trHeight w:val="55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5B2BB0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DEPENDENCIA</w:t>
            </w: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2BB0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5B2BB0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5B2BB0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5B2BB0" w:rsidRPr="008B3D9F" w:rsidRDefault="005B2BB0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B2BB0" w:rsidRPr="008B3D9F" w:rsidRDefault="005B2BB0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Del="00E44729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os cargos correspondientes a servidores públicos aforados incluidos en este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artículo deben estar efectivamente creados en el artículo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que establece la nueva planta de personal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Trabajadores oficiales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 w:rsidRPr="00FF7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 número de trabajadores oficiales al servicio de (nombre del organismo o entidad</w:t>
      </w:r>
      <w:r>
        <w:rPr>
          <w:rFonts w:ascii="Arial" w:hAnsi="Arial" w:cs="Arial"/>
          <w:bCs/>
          <w:color w:val="000000"/>
          <w:sz w:val="24"/>
          <w:szCs w:val="24"/>
        </w:rPr>
        <w:t>) será de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ab/>
        <w:t>).</w:t>
      </w:r>
      <w:r w:rsidRPr="00E447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2B8D">
        <w:rPr>
          <w:rFonts w:ascii="Arial" w:hAnsi="Arial" w:cs="Arial"/>
          <w:bCs/>
          <w:color w:val="000000"/>
          <w:sz w:val="24"/>
          <w:szCs w:val="24"/>
        </w:rPr>
        <w:t xml:space="preserve">(Incorporar este artículo si la </w:t>
      </w:r>
      <w:r w:rsidR="0029448F">
        <w:rPr>
          <w:rFonts w:ascii="Arial" w:hAnsi="Arial" w:cs="Arial"/>
          <w:bCs/>
          <w:color w:val="000000"/>
          <w:sz w:val="24"/>
          <w:szCs w:val="24"/>
        </w:rPr>
        <w:t>entidad</w:t>
      </w:r>
      <w:r w:rsidR="0029448F" w:rsidRPr="00A02B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2B8D">
        <w:rPr>
          <w:rFonts w:ascii="Arial" w:hAnsi="Arial" w:cs="Arial"/>
          <w:bCs/>
          <w:color w:val="000000"/>
          <w:sz w:val="24"/>
          <w:szCs w:val="24"/>
        </w:rPr>
        <w:t>cuenta entre sus servidores con trabajadores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oficiales, de acuerdo con la clasificación que hace la ley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4.</w:t>
      </w:r>
      <w:r w:rsidRPr="00FF7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Distribución y ubicación de cargos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 w:rsidRPr="00A02B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(El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jefe del organismo o entidad) distribuirá los cargos de la planta global a que se refiere el artículo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del presente Decreto, mediante acto administrativo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ubicará el personal teniendo en cuenta la organización interna, las necesidades del servicio, los planes y programas de la 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 w:rsidRPr="00C755C1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Derechos del empleado de carrera administrativa en caso de supresió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n del cargo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empleados públicos de carrera administrativa a quienes se les suprime el cargo como consecuencia de lo dispuesto en el artículo 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, podrán optar entre ser indemnizados o ser incorporados a empleos de carrera equivalentes, </w:t>
      </w:r>
      <w:r>
        <w:rPr>
          <w:rFonts w:ascii="Arial" w:hAnsi="Arial" w:cs="Arial"/>
          <w:bCs/>
          <w:color w:val="000000"/>
          <w:sz w:val="24"/>
          <w:szCs w:val="24"/>
        </w:rPr>
        <w:t>de conformidad con lo dispuesto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el artículo 44 de la </w:t>
      </w:r>
      <w:hyperlink r:id="rId10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en el Decreto en el </w:t>
      </w:r>
      <w:hyperlink r:id="rId11" w:anchor="temas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, con sujeción al procedimiento establecido en el </w:t>
      </w:r>
      <w:hyperlink r:id="rId12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Ley 760 de 2005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demás disposiciones que la reglamenten, modifiquen o sustituyan.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Supresión de cargos desempeñados por trabajadores oficiales.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indemnizaciones de los trabajadores oficiales a quienes se les suprima el cargo, se reconocerán y pagarán de conformidad con lo previsto en la Ley 6ª de 1945, el contrato de trabajo, las convenciones colectivas, los laudos arbitrales y las disposiciones legales vigentes.</w:t>
      </w:r>
      <w:r w:rsidRPr="002678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(Incluir este artículo si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organismo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descentralizada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suprime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cargos desempeñados por servidores con la calidad de trabajadores oficiales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Default="005B2BB0" w:rsidP="005B2BB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7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Incorporación.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3A51BE">
        <w:rPr>
          <w:rFonts w:ascii="Arial" w:hAnsi="Arial" w:cs="Arial"/>
          <w:sz w:val="24"/>
          <w:szCs w:val="24"/>
        </w:rPr>
        <w:t xml:space="preserve">Los servidores públicos que ocupan los cargos suprimidos en el artículo 1 del presente decreto serán incorporados directamente a los cargos creados en el artículo 2 cuando los nuevos cargos sean iguales a los de la planta anterior en su denominación, nivel y grado salarial y requisitos iguales o superiores. </w:t>
      </w:r>
    </w:p>
    <w:p w:rsidR="005B2BB0" w:rsidRPr="003A51BE" w:rsidRDefault="005B2BB0" w:rsidP="005B2B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La incorporación de los servidores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la nueva planta de personal que se adopta en el presente decreto se hará conforme a las disposiciones legales vigentes sobre la materia, dentro de los siguientes treinta (30) días calendario contados a partir de la fecha de su publicación. </w:t>
      </w: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Los empleados públicos continuarán percibiendo la remuneración mensual correspondiente a los empleos que desempeñan actualmente, hasta tanto se produzca la incorporación a la nueva planta de personal y tomen posesión del cargo.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8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Provisión de cargos de carrera.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cargos de carrera vacantes de la planta de personal se proveerán de conformidad con lo dispuesto en la </w:t>
      </w:r>
      <w:hyperlink r:id="rId13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el </w:t>
      </w:r>
      <w:hyperlink r:id="rId14" w:anchor="temas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y demás disposiciones que le modifiquen, adicionen o sustituyan.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9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Vigencia.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presente Decreto rige a partir de la fecha de su publicación y deroga las disposiciones que le sean contrarias, en especial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...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(citar la o las normas que se pretende sustituir).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(ciudad),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los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(Espacio en blanco para la firma del Señor Presidente de la República)</w:t>
      </w: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MINISTRO DE HACIENDA Y CRÉDITO PÚBLICO,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MINISTRO O DIRECTOR DE DEPARTAMENTO ADMINISTRATIVO CORRESPONDIENTE,</w:t>
      </w:r>
    </w:p>
    <w:p w:rsidR="005B2BB0" w:rsidRPr="00057166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B2BB0" w:rsidRDefault="005B2BB0" w:rsidP="005B2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DIRECTOR DEL DEPARTAMENTO ADMIN</w:t>
      </w:r>
      <w:r>
        <w:rPr>
          <w:rFonts w:ascii="Arial" w:hAnsi="Arial" w:cs="Arial"/>
          <w:bCs/>
          <w:color w:val="000000"/>
          <w:sz w:val="24"/>
          <w:szCs w:val="24"/>
        </w:rPr>
        <w:t>ISTRATIVO DE LA FUNCIÓN PÚBLICA</w:t>
      </w:r>
    </w:p>
    <w:p w:rsidR="009855D8" w:rsidRDefault="009855D8" w:rsidP="005B2BB0"/>
    <w:sectPr w:rsidR="009855D8" w:rsidSect="005B2BB0">
      <w:head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0E" w:rsidRDefault="006D490E" w:rsidP="005B2BB0">
      <w:pPr>
        <w:spacing w:after="0" w:line="240" w:lineRule="auto"/>
      </w:pPr>
      <w:r>
        <w:separator/>
      </w:r>
    </w:p>
  </w:endnote>
  <w:endnote w:type="continuationSeparator" w:id="0">
    <w:p w:rsidR="006D490E" w:rsidRDefault="006D490E" w:rsidP="005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0E" w:rsidRDefault="006D490E" w:rsidP="005B2BB0">
      <w:pPr>
        <w:spacing w:after="0" w:line="240" w:lineRule="auto"/>
      </w:pPr>
      <w:r>
        <w:separator/>
      </w:r>
    </w:p>
  </w:footnote>
  <w:footnote w:type="continuationSeparator" w:id="0">
    <w:p w:rsidR="006D490E" w:rsidRDefault="006D490E" w:rsidP="005B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B0" w:rsidRDefault="005B2BB0" w:rsidP="005B2BB0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65D03" w:rsidRPr="00E65D03">
      <w:rPr>
        <w:b/>
        <w:noProof/>
        <w:lang w:val="es-ES"/>
      </w:rPr>
      <w:t>4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65D03" w:rsidRPr="00E65D03">
      <w:rPr>
        <w:b/>
        <w:noProof/>
        <w:lang w:val="es-ES"/>
      </w:rPr>
      <w:t>4</w:t>
    </w:r>
    <w:r>
      <w:rPr>
        <w:b/>
      </w:rPr>
      <w:fldChar w:fldCharType="end"/>
    </w:r>
  </w:p>
  <w:p w:rsidR="005B2BB0" w:rsidRDefault="005B2BB0" w:rsidP="005B2BB0">
    <w:pPr>
      <w:pStyle w:val="Encabezado"/>
    </w:pPr>
  </w:p>
  <w:p w:rsidR="005B2BB0" w:rsidRPr="005B2BB0" w:rsidRDefault="005B2BB0" w:rsidP="005B2BB0">
    <w:pPr>
      <w:pStyle w:val="Encabezado"/>
      <w:jc w:val="center"/>
      <w:rPr>
        <w:rFonts w:asciiTheme="majorHAnsi" w:hAnsiTheme="majorHAnsi"/>
        <w:szCs w:val="20"/>
      </w:rPr>
    </w:pPr>
    <w:r w:rsidRPr="005B2BB0">
      <w:rPr>
        <w:rFonts w:asciiTheme="majorHAnsi" w:hAnsiTheme="majorHAnsi" w:cs="Arial"/>
        <w:color w:val="000000"/>
        <w:szCs w:val="20"/>
      </w:rPr>
      <w:t>“</w:t>
    </w:r>
    <w:r w:rsidRPr="005B2BB0">
      <w:rPr>
        <w:rFonts w:asciiTheme="majorHAnsi" w:hAnsiTheme="majorHAnsi" w:cs="Arial"/>
        <w:bCs/>
        <w:color w:val="000000"/>
        <w:szCs w:val="20"/>
      </w:rPr>
      <w:t>Por el cual se modifica la planta de personal de (entidad)</w:t>
    </w:r>
    <w:r w:rsidRPr="005B2BB0">
      <w:rPr>
        <w:rFonts w:asciiTheme="majorHAnsi" w:hAnsiTheme="majorHAnsi" w:cs="Arial"/>
        <w:color w:val="000000"/>
        <w:szCs w:val="20"/>
      </w:rPr>
      <w:t>”.</w:t>
    </w:r>
  </w:p>
  <w:p w:rsidR="005B2BB0" w:rsidRDefault="005B2B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0"/>
    <w:rsid w:val="0029448F"/>
    <w:rsid w:val="004D4225"/>
    <w:rsid w:val="00516767"/>
    <w:rsid w:val="005B2BB0"/>
    <w:rsid w:val="006D490E"/>
    <w:rsid w:val="009855D8"/>
    <w:rsid w:val="00A277A4"/>
    <w:rsid w:val="00A43F5F"/>
    <w:rsid w:val="00E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B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2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2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B2BB0"/>
    <w:rPr>
      <w:color w:val="0000FF"/>
      <w:u w:val="single"/>
    </w:rPr>
  </w:style>
  <w:style w:type="paragraph" w:styleId="Sinespaciado">
    <w:name w:val="No Spacing"/>
    <w:uiPriority w:val="1"/>
    <w:qFormat/>
    <w:rsid w:val="005B2B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2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B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2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B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B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2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2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B2BB0"/>
    <w:rPr>
      <w:color w:val="0000FF"/>
      <w:u w:val="single"/>
    </w:rPr>
  </w:style>
  <w:style w:type="paragraph" w:styleId="Sinespaciado">
    <w:name w:val="No Spacing"/>
    <w:uiPriority w:val="1"/>
    <w:qFormat/>
    <w:rsid w:val="005B2B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2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B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2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B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5322" TargetMode="External"/><Relationship Id="rId13" Type="http://schemas.openxmlformats.org/officeDocument/2006/relationships/hyperlink" Target="http://www.funcionpublica.gov.co/sisjur/home/Norma1.jsp?i=148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yperlink" Target="http://www.funcionpublica.gov.co/sisjur/home/Norma1.jsp?i=1612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628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uncionpublica.gov.co/sisjur/home/Norma1.jsp?i=14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yperlink" Target="http://www.funcionpublica.gov.co/sisjur/home/Norma1.jsp?i=628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2018-02-22T19:29:00Z</dcterms:created>
  <dcterms:modified xsi:type="dcterms:W3CDTF">2018-02-22T19:29:00Z</dcterms:modified>
</cp:coreProperties>
</file>