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83" w:rsidRPr="00897C1C" w:rsidRDefault="00722283" w:rsidP="00722283">
      <w:pPr>
        <w:pStyle w:val="Ttulo2"/>
        <w:jc w:val="both"/>
      </w:pPr>
      <w:bookmarkStart w:id="0" w:name="_Toc504664262"/>
      <w:bookmarkStart w:id="1" w:name="_Toc504664358"/>
      <w:r w:rsidRPr="00897C1C">
        <w:t>VACACIONES COLECTIVAS</w:t>
      </w:r>
      <w:bookmarkEnd w:id="0"/>
      <w:bookmarkEnd w:id="1"/>
    </w:p>
    <w:p w:rsidR="00722283" w:rsidRDefault="00722283" w:rsidP="00722283">
      <w:pPr>
        <w:jc w:val="center"/>
        <w:rPr>
          <w:rFonts w:ascii="Arial" w:hAnsi="Arial" w:cs="Arial"/>
          <w:sz w:val="24"/>
          <w:szCs w:val="24"/>
        </w:rPr>
      </w:pPr>
    </w:p>
    <w:p w:rsidR="00722283" w:rsidRPr="00911237" w:rsidRDefault="00722283" w:rsidP="00722283">
      <w:pPr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 (</w:t>
      </w:r>
      <w:bookmarkStart w:id="2" w:name="_GoBack"/>
      <w:bookmarkEnd w:id="2"/>
      <w:r w:rsidRPr="00911237">
        <w:rPr>
          <w:rFonts w:ascii="Arial" w:hAnsi="Arial" w:cs="Arial"/>
          <w:sz w:val="24"/>
          <w:szCs w:val="24"/>
        </w:rPr>
        <w:t>NOMBRE DE LA ENTIDAD)</w:t>
      </w:r>
    </w:p>
    <w:p w:rsidR="00722283" w:rsidRPr="00911237" w:rsidRDefault="00722283" w:rsidP="00722283">
      <w:pPr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Resolución No. ________ DE ________</w:t>
      </w:r>
    </w:p>
    <w:p w:rsidR="00722283" w:rsidRPr="00911237" w:rsidRDefault="00722283" w:rsidP="00722283">
      <w:pPr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(FECHA DE </w:t>
      </w:r>
      <w:r w:rsidRPr="00EB7A4F">
        <w:rPr>
          <w:rFonts w:ascii="Arial" w:hAnsi="Arial" w:cs="Arial"/>
          <w:sz w:val="24"/>
          <w:szCs w:val="24"/>
        </w:rPr>
        <w:t xml:space="preserve">LA </w:t>
      </w:r>
      <w:r w:rsidRPr="00911237">
        <w:rPr>
          <w:rFonts w:ascii="Arial" w:hAnsi="Arial" w:cs="Arial"/>
          <w:sz w:val="24"/>
          <w:szCs w:val="24"/>
        </w:rPr>
        <w:t>RESOLUCIÓN)</w:t>
      </w:r>
    </w:p>
    <w:p w:rsidR="00722283" w:rsidRPr="00911237" w:rsidRDefault="00722283" w:rsidP="00722283">
      <w:pPr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Por la cual se ordena el disfrute de vacaciones colectivas</w:t>
      </w:r>
    </w:p>
    <w:p w:rsidR="00722283" w:rsidRPr="00911237" w:rsidRDefault="00722283" w:rsidP="00722283">
      <w:pPr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EL (A) (NOMINADOR (A) DE (NOMBRE DE LA ENTIDAD),</w:t>
      </w:r>
    </w:p>
    <w:p w:rsidR="00722283" w:rsidRPr="00911237" w:rsidRDefault="00722283" w:rsidP="00722283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B7A4F">
        <w:rPr>
          <w:rFonts w:ascii="Arial" w:hAnsi="Arial" w:cs="Arial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sz w:val="24"/>
          <w:szCs w:val="24"/>
        </w:rPr>
        <w:t xml:space="preserve"> ejercicio de sus facultades legales y en especial de las que le confiere el artículo (</w:t>
      </w:r>
      <w:r w:rsidR="007364FB"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 xml:space="preserve"> ) del (norma que lo faculta), </w:t>
      </w:r>
    </w:p>
    <w:p w:rsidR="00722283" w:rsidRPr="00897C1C" w:rsidRDefault="00722283" w:rsidP="00722283">
      <w:pPr>
        <w:jc w:val="center"/>
        <w:rPr>
          <w:rFonts w:ascii="Arial" w:hAnsi="Arial" w:cs="Arial"/>
          <w:b/>
          <w:sz w:val="24"/>
          <w:szCs w:val="24"/>
        </w:rPr>
      </w:pPr>
      <w:r w:rsidRPr="00897C1C">
        <w:rPr>
          <w:rFonts w:ascii="Arial" w:hAnsi="Arial" w:cs="Arial"/>
          <w:b/>
          <w:sz w:val="24"/>
          <w:szCs w:val="24"/>
        </w:rPr>
        <w:t>CONSIDERANDO:</w:t>
      </w:r>
    </w:p>
    <w:p w:rsidR="00722283" w:rsidRPr="00911237" w:rsidRDefault="00722283" w:rsidP="00722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911237">
        <w:rPr>
          <w:rFonts w:ascii="Arial" w:eastAsia="Times New Roman" w:hAnsi="Arial" w:cs="Arial"/>
          <w:sz w:val="24"/>
          <w:szCs w:val="24"/>
          <w:lang w:val="es-ES" w:eastAsia="es-CO"/>
        </w:rPr>
        <w:t xml:space="preserve">Que el artículo </w:t>
      </w:r>
      <w:r w:rsidRPr="00EB7A4F">
        <w:rPr>
          <w:rFonts w:ascii="Arial" w:eastAsia="Times New Roman" w:hAnsi="Arial" w:cs="Arial"/>
          <w:sz w:val="24"/>
          <w:szCs w:val="24"/>
          <w:lang w:val="es-ES" w:eastAsia="es-CO"/>
        </w:rPr>
        <w:t>8</w:t>
      </w:r>
      <w:r w:rsidRPr="00911237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del </w:t>
      </w:r>
      <w:hyperlink r:id="rId7" w:history="1">
        <w:r w:rsidRPr="00FA50E7">
          <w:rPr>
            <w:rStyle w:val="Hipervnculo"/>
            <w:rFonts w:ascii="Arial" w:eastAsia="Times New Roman" w:hAnsi="Arial" w:cs="Arial"/>
            <w:sz w:val="24"/>
            <w:szCs w:val="24"/>
            <w:lang w:val="es-ES" w:eastAsia="es-CO"/>
          </w:rPr>
          <w:t>Decreto 1045 de 1978</w:t>
        </w:r>
      </w:hyperlink>
      <w:r w:rsidRPr="00911237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establece que los empleados públicos al servicio del Estado tienen derecho a quince (15) días hábiles de vacaciones, por cada año de servicio. Por su parte, 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su</w:t>
      </w:r>
      <w:r w:rsidRPr="00911237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artículo 19 señala que, con la autorización previa de la Presidencia de la República, el jefe de la entidad puede conceder vacaciones colectivas de acuerdo con las necesidades del servicio.</w:t>
      </w:r>
    </w:p>
    <w:p w:rsidR="00E0623A" w:rsidRPr="00911237" w:rsidRDefault="00E0623A" w:rsidP="00E0623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EB7A4F">
        <w:rPr>
          <w:rFonts w:ascii="Arial" w:hAnsi="Arial" w:cs="Arial"/>
          <w:lang w:val="es-ES"/>
        </w:rPr>
        <w:t xml:space="preserve">Que el artículo 19 del </w:t>
      </w:r>
      <w:hyperlink r:id="rId8" w:history="1">
        <w:r w:rsidRPr="00FA50E7">
          <w:rPr>
            <w:rStyle w:val="Hipervnculo"/>
            <w:rFonts w:ascii="Arial" w:hAnsi="Arial" w:cs="Arial"/>
            <w:lang w:val="es-ES"/>
          </w:rPr>
          <w:t>Decreto 1045 de 1978</w:t>
        </w:r>
      </w:hyperlink>
      <w:r w:rsidRPr="00EB7A4F">
        <w:rPr>
          <w:rFonts w:ascii="Arial" w:hAnsi="Arial" w:cs="Arial"/>
          <w:lang w:val="es-ES"/>
        </w:rPr>
        <w:t xml:space="preserve"> ordena que cuando se concedan vacaciones colectivas,</w:t>
      </w:r>
      <w:r>
        <w:rPr>
          <w:rFonts w:ascii="Arial" w:hAnsi="Arial" w:cs="Arial"/>
          <w:lang w:val="es-ES"/>
        </w:rPr>
        <w:t xml:space="preserve"> </w:t>
      </w:r>
      <w:r w:rsidRPr="00EB7A4F">
        <w:rPr>
          <w:rFonts w:ascii="Arial" w:hAnsi="Arial" w:cs="Arial"/>
          <w:lang w:val="es-ES"/>
        </w:rPr>
        <w:t>los servidores que no cuenten con un año continuo de servicios, autorizarán a la entidad para que, en caso de retirarse del servicio antes de completar un año de labor, descuente de sus emolumentos y</w:t>
      </w:r>
      <w:r>
        <w:rPr>
          <w:rFonts w:ascii="Arial" w:hAnsi="Arial" w:cs="Arial"/>
          <w:lang w:val="es-ES"/>
        </w:rPr>
        <w:t xml:space="preserve"> </w:t>
      </w:r>
      <w:r w:rsidRPr="00EB7A4F">
        <w:rPr>
          <w:rFonts w:ascii="Arial" w:hAnsi="Arial" w:cs="Arial"/>
          <w:lang w:val="es-ES"/>
        </w:rPr>
        <w:t>prestaciones el valor recibido por descanso vacacional y prima de vacaciones.</w:t>
      </w:r>
    </w:p>
    <w:p w:rsidR="00722283" w:rsidRPr="00EB7A4F" w:rsidRDefault="00722283" w:rsidP="00722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911237">
        <w:rPr>
          <w:rFonts w:ascii="Arial" w:eastAsia="Times New Roman" w:hAnsi="Arial" w:cs="Arial"/>
          <w:sz w:val="24"/>
          <w:szCs w:val="24"/>
          <w:lang w:val="es-ES" w:eastAsia="es-CO"/>
        </w:rPr>
        <w:t xml:space="preserve">Que el artículo 36 del </w:t>
      </w:r>
      <w:bookmarkStart w:id="3" w:name="_Hlk505244312"/>
      <w:r>
        <w:rPr>
          <w:rFonts w:ascii="Arial" w:eastAsia="Times New Roman" w:hAnsi="Arial" w:cs="Arial"/>
          <w:sz w:val="24"/>
          <w:szCs w:val="24"/>
          <w:lang w:val="es-ES" w:eastAsia="es-CO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instrText xml:space="preserve"> HYPERLINK "http://www.funcionpublica.gov.co/sisjur/home/Norma1.jsp?i=1208" </w:instrTex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fldChar w:fldCharType="separate"/>
      </w:r>
      <w:r w:rsidRPr="00FA50E7">
        <w:rPr>
          <w:rStyle w:val="Hipervnculo"/>
          <w:rFonts w:ascii="Arial" w:eastAsia="Times New Roman" w:hAnsi="Arial" w:cs="Arial"/>
          <w:sz w:val="24"/>
          <w:szCs w:val="24"/>
          <w:lang w:val="es-ES" w:eastAsia="es-CO"/>
        </w:rPr>
        <w:t>Decreto 2150 de 1995</w:t>
      </w:r>
      <w:bookmarkEnd w:id="3"/>
      <w:r>
        <w:rPr>
          <w:rFonts w:ascii="Arial" w:eastAsia="Times New Roman" w:hAnsi="Arial" w:cs="Arial"/>
          <w:sz w:val="24"/>
          <w:szCs w:val="24"/>
          <w:lang w:val="es-ES" w:eastAsia="es-CO"/>
        </w:rPr>
        <w:fldChar w:fldCharType="end"/>
      </w:r>
      <w:r w:rsidRPr="00911237">
        <w:rPr>
          <w:rFonts w:ascii="Arial" w:eastAsia="Times New Roman" w:hAnsi="Arial" w:cs="Arial"/>
          <w:sz w:val="24"/>
          <w:szCs w:val="24"/>
          <w:lang w:val="es-ES" w:eastAsia="es-CO"/>
        </w:rPr>
        <w:t>, por el cual se suprimen y reforman regulaciones, procedimientos o trámites innecesarios existentes en la Administración pública, dispone que para conceder las vacaciones colectivas, bastará la autorización de los nominadores de las entidades públicas.</w:t>
      </w:r>
    </w:p>
    <w:p w:rsidR="00722283" w:rsidRPr="00911237" w:rsidRDefault="00722283" w:rsidP="00722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911237">
        <w:rPr>
          <w:rFonts w:ascii="Arial" w:eastAsia="Times New Roman" w:hAnsi="Arial" w:cs="Arial"/>
          <w:sz w:val="24"/>
          <w:szCs w:val="24"/>
          <w:lang w:val="es-ES" w:eastAsia="es-CO"/>
        </w:rPr>
        <w:t>Que existe la necesidad de otorgar vacaciones colectivas, teniendo en cuenta (señalar los motivos).</w:t>
      </w:r>
    </w:p>
    <w:p w:rsidR="00722283" w:rsidRPr="00911237" w:rsidRDefault="00722283" w:rsidP="00722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  <w:r w:rsidRPr="00911237">
        <w:rPr>
          <w:rFonts w:ascii="Arial" w:eastAsia="Times New Roman" w:hAnsi="Arial" w:cs="Arial"/>
          <w:sz w:val="24"/>
          <w:szCs w:val="24"/>
          <w:lang w:val="es-ES" w:eastAsia="es-CO"/>
        </w:rPr>
        <w:t xml:space="preserve">En mérito de lo anteriormente expuesto, </w:t>
      </w:r>
    </w:p>
    <w:p w:rsidR="00722283" w:rsidRPr="00911237" w:rsidRDefault="00722283" w:rsidP="007222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911237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RESUELVE:</w:t>
      </w:r>
    </w:p>
    <w:p w:rsidR="00722283" w:rsidRPr="00EB7A4F" w:rsidRDefault="00722283" w:rsidP="0072228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bookmarkStart w:id="4" w:name="1"/>
      <w:r w:rsidRPr="00911237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Artículo 1.</w:t>
      </w:r>
      <w:bookmarkEnd w:id="4"/>
      <w:r w:rsidRPr="00911237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Pr="00EB7A4F">
        <w:rPr>
          <w:rFonts w:ascii="Arial" w:eastAsia="Times New Roman" w:hAnsi="Arial" w:cs="Arial"/>
          <w:b/>
          <w:i/>
          <w:sz w:val="24"/>
          <w:szCs w:val="24"/>
          <w:lang w:val="es-ES" w:eastAsia="es-CO"/>
        </w:rPr>
        <w:t>Reconocimiento de v</w:t>
      </w:r>
      <w:r w:rsidRPr="00911237">
        <w:rPr>
          <w:rFonts w:ascii="Arial" w:eastAsia="Times New Roman" w:hAnsi="Arial" w:cs="Arial"/>
          <w:b/>
          <w:i/>
          <w:sz w:val="24"/>
          <w:szCs w:val="24"/>
          <w:lang w:val="es-ES" w:eastAsia="es-CO"/>
        </w:rPr>
        <w:t xml:space="preserve">acaciones colectivas. </w:t>
      </w:r>
      <w:r w:rsidRPr="00911237">
        <w:rPr>
          <w:rFonts w:ascii="Arial" w:eastAsia="Times New Roman" w:hAnsi="Arial" w:cs="Arial"/>
          <w:sz w:val="24"/>
          <w:szCs w:val="24"/>
          <w:lang w:val="es-ES" w:eastAsia="es-CO"/>
        </w:rPr>
        <w:t>Ordenar el disfrute de las vacaciones colectivas de los servi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dores de (nombre de la entidad)</w:t>
      </w:r>
      <w:r w:rsidRPr="00911237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por un periodo de quince días hábiles, desde el (día, mes, año) hasta el (día, mes, año). </w:t>
      </w:r>
      <w:bookmarkStart w:id="5" w:name="2"/>
    </w:p>
    <w:p w:rsidR="00722283" w:rsidRPr="00EB7A4F" w:rsidRDefault="00722283" w:rsidP="00722283">
      <w:pPr>
        <w:spacing w:after="0" w:line="250" w:lineRule="auto"/>
        <w:ind w:right="49"/>
        <w:jc w:val="both"/>
        <w:rPr>
          <w:rFonts w:ascii="Arial" w:eastAsia="Arial" w:hAnsi="Arial" w:cs="Arial"/>
          <w:color w:val="000000"/>
          <w:spacing w:val="5"/>
          <w:sz w:val="24"/>
          <w:szCs w:val="24"/>
        </w:rPr>
      </w:pPr>
      <w:r w:rsidRPr="00EB7A4F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lastRenderedPageBreak/>
        <w:t>Artículo 2.</w:t>
      </w:r>
      <w:r w:rsidRPr="00EB7A4F">
        <w:rPr>
          <w:rFonts w:ascii="Arial" w:eastAsia="Times New Roman" w:hAnsi="Arial" w:cs="Arial"/>
          <w:b/>
          <w:i/>
          <w:sz w:val="24"/>
          <w:szCs w:val="24"/>
          <w:lang w:val="es-ES" w:eastAsia="es-CO"/>
        </w:rPr>
        <w:t xml:space="preserve"> Liquidación y pago. </w:t>
      </w:r>
      <w:r w:rsidRPr="00EB7A4F">
        <w:rPr>
          <w:rFonts w:ascii="Arial" w:eastAsia="Arial" w:hAnsi="Arial" w:cs="Arial"/>
          <w:color w:val="000000"/>
          <w:spacing w:val="5"/>
          <w:sz w:val="24"/>
          <w:szCs w:val="24"/>
        </w:rPr>
        <w:t>Liquida</w:t>
      </w:r>
      <w:r w:rsidRPr="00EB7A4F">
        <w:rPr>
          <w:rFonts w:ascii="Arial" w:eastAsia="Arial" w:hAnsi="Arial" w:cs="Arial"/>
          <w:color w:val="000000"/>
          <w:sz w:val="24"/>
          <w:szCs w:val="24"/>
        </w:rPr>
        <w:t>r</w:t>
      </w:r>
      <w:r w:rsidRPr="00EB7A4F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EB7A4F">
        <w:rPr>
          <w:rFonts w:ascii="Arial" w:eastAsia="Arial" w:hAnsi="Arial" w:cs="Arial"/>
          <w:color w:val="000000"/>
          <w:sz w:val="24"/>
          <w:szCs w:val="24"/>
        </w:rPr>
        <w:t>y</w:t>
      </w:r>
      <w:r w:rsidRPr="00EB7A4F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EB7A4F">
        <w:rPr>
          <w:rFonts w:ascii="Arial" w:eastAsia="Arial" w:hAnsi="Arial" w:cs="Arial"/>
          <w:color w:val="000000"/>
          <w:spacing w:val="5"/>
          <w:sz w:val="24"/>
          <w:szCs w:val="24"/>
        </w:rPr>
        <w:t>paga</w:t>
      </w:r>
      <w:r w:rsidRPr="00EB7A4F">
        <w:rPr>
          <w:rFonts w:ascii="Arial" w:eastAsia="Arial" w:hAnsi="Arial" w:cs="Arial"/>
          <w:color w:val="000000"/>
          <w:sz w:val="24"/>
          <w:szCs w:val="24"/>
        </w:rPr>
        <w:t>r</w:t>
      </w:r>
      <w:r w:rsidRPr="00EB7A4F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EB7A4F">
        <w:rPr>
          <w:rFonts w:ascii="Arial" w:eastAsia="Arial" w:hAnsi="Arial" w:cs="Arial"/>
          <w:color w:val="000000"/>
          <w:spacing w:val="5"/>
          <w:sz w:val="24"/>
          <w:szCs w:val="24"/>
        </w:rPr>
        <w:t>la</w:t>
      </w:r>
      <w:r w:rsidRPr="00EB7A4F">
        <w:rPr>
          <w:rFonts w:ascii="Arial" w:eastAsia="Arial" w:hAnsi="Arial" w:cs="Arial"/>
          <w:color w:val="000000"/>
          <w:sz w:val="24"/>
          <w:szCs w:val="24"/>
        </w:rPr>
        <w:t>s</w:t>
      </w:r>
      <w:r w:rsidRPr="00EB7A4F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EB7A4F">
        <w:rPr>
          <w:rFonts w:ascii="Arial" w:eastAsia="Arial" w:hAnsi="Arial" w:cs="Arial"/>
          <w:color w:val="000000"/>
          <w:spacing w:val="5"/>
          <w:sz w:val="24"/>
          <w:szCs w:val="24"/>
        </w:rPr>
        <w:t>vacacione</w:t>
      </w:r>
      <w:r w:rsidRPr="00EB7A4F">
        <w:rPr>
          <w:rFonts w:ascii="Arial" w:eastAsia="Arial" w:hAnsi="Arial" w:cs="Arial"/>
          <w:color w:val="000000"/>
          <w:sz w:val="24"/>
          <w:szCs w:val="24"/>
        </w:rPr>
        <w:t>s</w:t>
      </w:r>
      <w:r w:rsidRPr="00EB7A4F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colectivas de los </w:t>
      </w:r>
      <w:r w:rsidRPr="00EB7A4F">
        <w:rPr>
          <w:rFonts w:ascii="Arial" w:eastAsia="Arial" w:hAnsi="Arial" w:cs="Arial"/>
          <w:color w:val="000000"/>
          <w:spacing w:val="5"/>
          <w:sz w:val="24"/>
          <w:szCs w:val="24"/>
        </w:rPr>
        <w:t>empleados, de acuerdo con la siguiente liquidación:</w:t>
      </w:r>
    </w:p>
    <w:p w:rsidR="00722283" w:rsidRPr="00EB7A4F" w:rsidRDefault="00722283" w:rsidP="00722283">
      <w:pPr>
        <w:spacing w:after="0" w:line="250" w:lineRule="auto"/>
        <w:ind w:left="1023" w:right="360"/>
        <w:jc w:val="both"/>
        <w:rPr>
          <w:rFonts w:ascii="Arial" w:eastAsia="Arial" w:hAnsi="Arial" w:cs="Arial"/>
          <w:color w:val="4D4D4F"/>
          <w:spacing w:val="5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408"/>
        <w:gridCol w:w="1667"/>
        <w:gridCol w:w="1760"/>
      </w:tblGrid>
      <w:tr w:rsidR="00722283" w:rsidRPr="00EB7A4F" w:rsidTr="008D6E9A">
        <w:trPr>
          <w:trHeight w:val="885"/>
        </w:trPr>
        <w:tc>
          <w:tcPr>
            <w:tcW w:w="1276" w:type="dxa"/>
          </w:tcPr>
          <w:p w:rsidR="00722283" w:rsidRPr="00911237" w:rsidRDefault="00722283" w:rsidP="008D6E9A">
            <w:pPr>
              <w:spacing w:after="0" w:line="250" w:lineRule="auto"/>
              <w:ind w:right="360"/>
              <w:jc w:val="center"/>
              <w:rPr>
                <w:rFonts w:ascii="Arial" w:eastAsia="Arial" w:hAnsi="Arial" w:cs="Arial"/>
                <w:color w:val="000000"/>
                <w:spacing w:val="5"/>
                <w:sz w:val="18"/>
                <w:szCs w:val="24"/>
              </w:rPr>
            </w:pPr>
            <w:r w:rsidRPr="00911237">
              <w:rPr>
                <w:rFonts w:ascii="Arial" w:eastAsia="Arial" w:hAnsi="Arial" w:cs="Arial"/>
                <w:color w:val="000000"/>
                <w:spacing w:val="5"/>
                <w:sz w:val="18"/>
                <w:szCs w:val="24"/>
              </w:rPr>
              <w:t>Cargo</w:t>
            </w:r>
          </w:p>
        </w:tc>
        <w:tc>
          <w:tcPr>
            <w:tcW w:w="1275" w:type="dxa"/>
          </w:tcPr>
          <w:p w:rsidR="00722283" w:rsidRPr="00911237" w:rsidRDefault="00722283" w:rsidP="008D6E9A">
            <w:pPr>
              <w:spacing w:after="0" w:line="250" w:lineRule="auto"/>
              <w:ind w:right="360"/>
              <w:jc w:val="center"/>
              <w:rPr>
                <w:rFonts w:ascii="Arial" w:eastAsia="Arial" w:hAnsi="Arial" w:cs="Arial"/>
                <w:color w:val="000000"/>
                <w:spacing w:val="5"/>
                <w:sz w:val="18"/>
                <w:szCs w:val="24"/>
              </w:rPr>
            </w:pPr>
            <w:r w:rsidRPr="00911237">
              <w:rPr>
                <w:rFonts w:ascii="Arial" w:eastAsia="Arial" w:hAnsi="Arial" w:cs="Arial"/>
                <w:color w:val="000000"/>
                <w:spacing w:val="5"/>
                <w:sz w:val="18"/>
                <w:szCs w:val="24"/>
              </w:rPr>
              <w:t>Código</w:t>
            </w:r>
          </w:p>
        </w:tc>
        <w:tc>
          <w:tcPr>
            <w:tcW w:w="1276" w:type="dxa"/>
          </w:tcPr>
          <w:p w:rsidR="00722283" w:rsidRPr="00911237" w:rsidRDefault="00722283" w:rsidP="008D6E9A">
            <w:pPr>
              <w:spacing w:after="0" w:line="250" w:lineRule="auto"/>
              <w:ind w:right="360"/>
              <w:jc w:val="center"/>
              <w:rPr>
                <w:rFonts w:ascii="Arial" w:eastAsia="Arial" w:hAnsi="Arial" w:cs="Arial"/>
                <w:color w:val="000000"/>
                <w:spacing w:val="5"/>
                <w:sz w:val="18"/>
                <w:szCs w:val="24"/>
              </w:rPr>
            </w:pPr>
            <w:r w:rsidRPr="00911237">
              <w:rPr>
                <w:rFonts w:ascii="Arial" w:eastAsia="Arial" w:hAnsi="Arial" w:cs="Arial"/>
                <w:color w:val="000000"/>
                <w:spacing w:val="5"/>
                <w:sz w:val="18"/>
                <w:szCs w:val="24"/>
              </w:rPr>
              <w:t>Grado</w:t>
            </w:r>
          </w:p>
        </w:tc>
        <w:tc>
          <w:tcPr>
            <w:tcW w:w="1408" w:type="dxa"/>
            <w:shd w:val="clear" w:color="auto" w:fill="auto"/>
          </w:tcPr>
          <w:p w:rsidR="00722283" w:rsidRPr="00911237" w:rsidRDefault="00722283" w:rsidP="008D6E9A">
            <w:pPr>
              <w:spacing w:after="0" w:line="250" w:lineRule="auto"/>
              <w:ind w:right="360"/>
              <w:jc w:val="center"/>
              <w:rPr>
                <w:rFonts w:ascii="Arial" w:eastAsia="Arial" w:hAnsi="Arial" w:cs="Arial"/>
                <w:color w:val="000000"/>
                <w:spacing w:val="5"/>
                <w:sz w:val="18"/>
                <w:szCs w:val="24"/>
              </w:rPr>
            </w:pPr>
            <w:r w:rsidRPr="00911237">
              <w:rPr>
                <w:rFonts w:ascii="Arial" w:eastAsia="Arial" w:hAnsi="Arial" w:cs="Arial"/>
                <w:color w:val="000000"/>
                <w:spacing w:val="5"/>
                <w:sz w:val="18"/>
                <w:szCs w:val="24"/>
              </w:rPr>
              <w:t>Valor vacaciones ($)</w:t>
            </w:r>
          </w:p>
          <w:p w:rsidR="00722283" w:rsidRPr="00911237" w:rsidRDefault="00722283" w:rsidP="008D6E9A">
            <w:pPr>
              <w:spacing w:after="0" w:line="250" w:lineRule="auto"/>
              <w:ind w:right="360"/>
              <w:jc w:val="center"/>
              <w:rPr>
                <w:rFonts w:ascii="Arial" w:eastAsia="Arial" w:hAnsi="Arial" w:cs="Arial"/>
                <w:color w:val="000000"/>
                <w:spacing w:val="5"/>
                <w:sz w:val="18"/>
                <w:szCs w:val="24"/>
              </w:rPr>
            </w:pPr>
          </w:p>
          <w:p w:rsidR="00722283" w:rsidRPr="00911237" w:rsidRDefault="00722283" w:rsidP="008D6E9A">
            <w:pPr>
              <w:spacing w:after="0" w:line="250" w:lineRule="auto"/>
              <w:ind w:right="360"/>
              <w:jc w:val="center"/>
              <w:rPr>
                <w:rFonts w:ascii="Arial" w:eastAsia="Arial" w:hAnsi="Arial" w:cs="Arial"/>
                <w:color w:val="000000"/>
                <w:spacing w:val="5"/>
                <w:sz w:val="18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22283" w:rsidRPr="00911237" w:rsidRDefault="00722283" w:rsidP="008D6E9A">
            <w:pPr>
              <w:spacing w:after="0" w:line="250" w:lineRule="auto"/>
              <w:ind w:right="360"/>
              <w:jc w:val="center"/>
              <w:rPr>
                <w:rFonts w:ascii="Arial" w:eastAsia="Arial" w:hAnsi="Arial" w:cs="Arial"/>
                <w:color w:val="000000"/>
                <w:spacing w:val="5"/>
                <w:sz w:val="18"/>
                <w:szCs w:val="24"/>
              </w:rPr>
            </w:pPr>
            <w:r w:rsidRPr="00911237">
              <w:rPr>
                <w:rFonts w:ascii="Arial" w:eastAsia="Arial" w:hAnsi="Arial" w:cs="Arial"/>
                <w:color w:val="000000"/>
                <w:spacing w:val="5"/>
                <w:sz w:val="18"/>
                <w:szCs w:val="24"/>
              </w:rPr>
              <w:t>Valor prima de vacaciones ($)</w:t>
            </w:r>
          </w:p>
        </w:tc>
        <w:tc>
          <w:tcPr>
            <w:tcW w:w="1760" w:type="dxa"/>
            <w:shd w:val="clear" w:color="auto" w:fill="auto"/>
          </w:tcPr>
          <w:p w:rsidR="00722283" w:rsidRPr="00911237" w:rsidRDefault="00722283" w:rsidP="008D6E9A">
            <w:pPr>
              <w:spacing w:after="0" w:line="250" w:lineRule="auto"/>
              <w:ind w:right="360"/>
              <w:jc w:val="center"/>
              <w:rPr>
                <w:rFonts w:ascii="Arial" w:eastAsia="Arial" w:hAnsi="Arial" w:cs="Arial"/>
                <w:color w:val="000000"/>
                <w:spacing w:val="5"/>
                <w:sz w:val="18"/>
                <w:szCs w:val="24"/>
              </w:rPr>
            </w:pPr>
            <w:r w:rsidRPr="00911237">
              <w:rPr>
                <w:rFonts w:ascii="Arial" w:eastAsia="Arial" w:hAnsi="Arial" w:cs="Arial"/>
                <w:color w:val="000000"/>
                <w:spacing w:val="5"/>
                <w:sz w:val="18"/>
                <w:szCs w:val="24"/>
              </w:rPr>
              <w:t>Bonificación por recreación ($)</w:t>
            </w:r>
          </w:p>
        </w:tc>
      </w:tr>
    </w:tbl>
    <w:p w:rsidR="00722283" w:rsidRPr="00EB7A4F" w:rsidRDefault="00722283" w:rsidP="0072228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D</w:t>
      </w:r>
      <w:r w:rsidRPr="00EB7A4F">
        <w:rPr>
          <w:rFonts w:ascii="Arial" w:eastAsia="Times New Roman" w:hAnsi="Arial" w:cs="Arial"/>
          <w:sz w:val="24"/>
          <w:szCs w:val="24"/>
          <w:lang w:val="es-ES" w:eastAsia="es-CO"/>
        </w:rPr>
        <w:t>e exist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ir</w:t>
      </w:r>
      <w:r w:rsidRPr="00EB7A4F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empleados que a la fecha programada para el disfrute no hayan cumplido un año al servicio de la entidad, autorizarán por escrito que </w:t>
      </w:r>
      <w:r w:rsidRPr="00EB7A4F">
        <w:rPr>
          <w:rFonts w:ascii="Arial" w:hAnsi="Arial" w:cs="Arial"/>
          <w:sz w:val="24"/>
          <w:szCs w:val="24"/>
        </w:rPr>
        <w:t>en caso que su retiro se cause antes de completar el año de labor, la entidad descuente de sus emolumentos y prestaciones el valor recibido por el disfrute de vacaciones.</w:t>
      </w:r>
    </w:p>
    <w:p w:rsidR="00722283" w:rsidRPr="00FF5AFA" w:rsidRDefault="00722283" w:rsidP="00722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911237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 xml:space="preserve">Artículo 2. </w:t>
      </w:r>
      <w:r w:rsidRPr="00911237">
        <w:rPr>
          <w:rFonts w:ascii="Arial" w:eastAsia="Times New Roman" w:hAnsi="Arial" w:cs="Arial"/>
          <w:b/>
          <w:bCs/>
          <w:i/>
          <w:sz w:val="24"/>
          <w:szCs w:val="24"/>
          <w:lang w:val="es-ES" w:eastAsia="es-CO"/>
        </w:rPr>
        <w:t>Excepciones al disfrute de las vacaciones colectivas.</w:t>
      </w:r>
      <w:r w:rsidRPr="00911237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bookmarkEnd w:id="5"/>
      <w:r w:rsidRPr="00911237">
        <w:rPr>
          <w:rFonts w:ascii="Arial" w:eastAsia="Times New Roman" w:hAnsi="Arial" w:cs="Arial"/>
          <w:sz w:val="24"/>
          <w:szCs w:val="24"/>
          <w:lang w:val="es-ES" w:eastAsia="es-CO"/>
        </w:rPr>
        <w:t xml:space="preserve">Se exceptúan del disfrute de las vacaciones colectivas los siguientes empleados de los niveles directivo y asesor: (relacionar los empleos, por denominación, código y grado salarial. </w:t>
      </w:r>
    </w:p>
    <w:p w:rsidR="00722283" w:rsidRPr="00911237" w:rsidRDefault="00722283" w:rsidP="007222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911237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 xml:space="preserve">Artículo 3. </w:t>
      </w:r>
      <w:r w:rsidRPr="00911237">
        <w:rPr>
          <w:rFonts w:ascii="Arial" w:eastAsia="Times New Roman" w:hAnsi="Arial" w:cs="Arial"/>
          <w:b/>
          <w:bCs/>
          <w:i/>
          <w:sz w:val="24"/>
          <w:szCs w:val="24"/>
          <w:lang w:val="es-ES" w:eastAsia="es-CO"/>
        </w:rPr>
        <w:t xml:space="preserve">Vigencia. </w:t>
      </w:r>
      <w:r w:rsidRPr="00EB7A4F">
        <w:rPr>
          <w:rFonts w:ascii="Arial" w:hAnsi="Arial" w:cs="Arial"/>
          <w:color w:val="000000"/>
          <w:sz w:val="24"/>
          <w:szCs w:val="24"/>
        </w:rPr>
        <w:t>La presente resolución rige a partir de la fecha de su expedición.</w:t>
      </w:r>
    </w:p>
    <w:p w:rsidR="00722283" w:rsidRPr="00911237" w:rsidRDefault="00722283" w:rsidP="007222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911237">
        <w:rPr>
          <w:rFonts w:ascii="Arial" w:eastAsia="Times New Roman" w:hAnsi="Arial" w:cs="Arial"/>
          <w:sz w:val="24"/>
          <w:szCs w:val="24"/>
          <w:lang w:val="es-ES" w:eastAsia="es-CO"/>
        </w:rPr>
        <w:t>PUBLÍQUESE Y CÚMPLASE</w:t>
      </w:r>
    </w:p>
    <w:p w:rsidR="00722283" w:rsidRPr="00911237" w:rsidRDefault="00722283" w:rsidP="0072228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911237">
        <w:rPr>
          <w:rFonts w:ascii="Arial" w:eastAsia="Times New Roman" w:hAnsi="Arial" w:cs="Arial"/>
          <w:sz w:val="24"/>
          <w:szCs w:val="24"/>
          <w:lang w:val="es-ES" w:eastAsia="es-CO"/>
        </w:rPr>
        <w:t xml:space="preserve">Dado en (ciudad), a los </w:t>
      </w:r>
    </w:p>
    <w:p w:rsidR="00722283" w:rsidRPr="00911237" w:rsidRDefault="00722283" w:rsidP="0072228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722283" w:rsidRPr="00EB7A4F" w:rsidRDefault="00722283" w:rsidP="0072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B7A4F"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722283" w:rsidRPr="00EB7A4F" w:rsidRDefault="00722283" w:rsidP="0072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B7A4F">
        <w:rPr>
          <w:rFonts w:ascii="Arial" w:hAnsi="Arial" w:cs="Arial"/>
          <w:color w:val="000000"/>
          <w:sz w:val="24"/>
          <w:szCs w:val="24"/>
        </w:rPr>
        <w:t>(Nominador)</w:t>
      </w:r>
    </w:p>
    <w:p w:rsidR="00EA4653" w:rsidRDefault="00EA4653"/>
    <w:sectPr w:rsidR="00EA4653" w:rsidSect="007222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A1" w:rsidRDefault="00223AA1" w:rsidP="00722283">
      <w:pPr>
        <w:spacing w:after="0" w:line="240" w:lineRule="auto"/>
      </w:pPr>
      <w:r>
        <w:separator/>
      </w:r>
    </w:p>
  </w:endnote>
  <w:endnote w:type="continuationSeparator" w:id="0">
    <w:p w:rsidR="00223AA1" w:rsidRDefault="00223AA1" w:rsidP="0072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83" w:rsidRDefault="007222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83" w:rsidRDefault="0072228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83" w:rsidRDefault="007222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A1" w:rsidRDefault="00223AA1" w:rsidP="00722283">
      <w:pPr>
        <w:spacing w:after="0" w:line="240" w:lineRule="auto"/>
      </w:pPr>
      <w:r>
        <w:separator/>
      </w:r>
    </w:p>
  </w:footnote>
  <w:footnote w:type="continuationSeparator" w:id="0">
    <w:p w:rsidR="00223AA1" w:rsidRDefault="00223AA1" w:rsidP="0072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83" w:rsidRDefault="007222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83" w:rsidRDefault="00722283" w:rsidP="008D00C0">
    <w:pPr>
      <w:pStyle w:val="Encabezado"/>
      <w:jc w:val="both"/>
    </w:pPr>
    <w:r>
      <w:t>RESOLUCIÓN NÚMERO ______________________DE ______________________</w:t>
    </w:r>
    <w:r w:rsidR="007364FB">
      <w:t xml:space="preserve">  </w:t>
    </w:r>
    <w:r w:rsidR="008D00C0"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E2B14" w:rsidRPr="001E2B14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E2B14" w:rsidRPr="001E2B14">
      <w:rPr>
        <w:b/>
        <w:noProof/>
        <w:lang w:val="es-ES"/>
      </w:rPr>
      <w:t>2</w:t>
    </w:r>
    <w:r>
      <w:rPr>
        <w:b/>
      </w:rPr>
      <w:fldChar w:fldCharType="end"/>
    </w:r>
  </w:p>
  <w:p w:rsidR="00722283" w:rsidRDefault="00722283" w:rsidP="00722283">
    <w:pPr>
      <w:pStyle w:val="Encabezado"/>
    </w:pPr>
  </w:p>
  <w:p w:rsidR="00722283" w:rsidRDefault="00722283" w:rsidP="00722283">
    <w:pPr>
      <w:pStyle w:val="Encabezado"/>
      <w:jc w:val="center"/>
    </w:pPr>
    <w:r>
      <w:t>“Por la cual se ordena el disfrute de vacaciones colectivas”</w:t>
    </w:r>
  </w:p>
  <w:p w:rsidR="00722283" w:rsidRDefault="0072228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83" w:rsidRDefault="007222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83"/>
    <w:rsid w:val="001E2B14"/>
    <w:rsid w:val="00223AA1"/>
    <w:rsid w:val="00722283"/>
    <w:rsid w:val="007364FB"/>
    <w:rsid w:val="007C4D4E"/>
    <w:rsid w:val="008735B9"/>
    <w:rsid w:val="008D00C0"/>
    <w:rsid w:val="009F62B5"/>
    <w:rsid w:val="00AE2D06"/>
    <w:rsid w:val="00B05A6E"/>
    <w:rsid w:val="00BD79E2"/>
    <w:rsid w:val="00CB4CA4"/>
    <w:rsid w:val="00E0623A"/>
    <w:rsid w:val="00E71869"/>
    <w:rsid w:val="00EA4653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83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2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22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722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72228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2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28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22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8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283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062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62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623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2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23A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E0623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83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2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22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722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72228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2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28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22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8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283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062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62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623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2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23A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E062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146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66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2018-02-22T18:36:00Z</dcterms:created>
  <dcterms:modified xsi:type="dcterms:W3CDTF">2018-02-22T18:36:00Z</dcterms:modified>
</cp:coreProperties>
</file>