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2E" w:rsidRPr="00421B48" w:rsidRDefault="003B452E" w:rsidP="003B452E">
      <w:pPr>
        <w:pStyle w:val="Ttulo2"/>
        <w:jc w:val="both"/>
      </w:pPr>
      <w:bookmarkStart w:id="0" w:name="_Toc504664261"/>
      <w:bookmarkStart w:id="1" w:name="_Toc504664357"/>
      <w:bookmarkStart w:id="2" w:name="_GoBack"/>
      <w:r w:rsidRPr="00421B48">
        <w:t>COMPENSACIÓN VACACIONES</w:t>
      </w:r>
      <w:bookmarkEnd w:id="0"/>
      <w:bookmarkEnd w:id="1"/>
    </w:p>
    <w:bookmarkEnd w:id="2"/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(NOMBRE DE LA ENTIDAD)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RESOLUCIÓN</w:t>
      </w:r>
      <w:r w:rsidR="005573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No. ________ DE __________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(FECHA DE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LA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RESOLUCIÓN)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Por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la cual se reconoce la compensación en dinero de unas vacaciones causadas y no disfrutadas, la prima de vacaciones y la bonificación especial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por recreación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un servidor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EL (NOMINADOR) DE (NOMBRE DE LA ENTIDAD),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proofErr w:type="gramStart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proofErr w:type="gramEnd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ejercicio de sus facultades legales y en especial de las que le confiere el artículo (__) del</w:t>
      </w:r>
      <w:r w:rsidR="005573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(Norma que lo faculta),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b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C O N S I D E R A N D O: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Que el artículo 20 del </w:t>
      </w:r>
      <w:hyperlink r:id="rId7" w:history="1">
        <w:r w:rsidRPr="00FA50E7">
          <w:rPr>
            <w:rStyle w:val="Hipervnculo"/>
            <w:rFonts w:ascii="Arial" w:eastAsia="Arial" w:hAnsi="Arial" w:cs="Arial"/>
            <w:spacing w:val="1"/>
            <w:sz w:val="24"/>
            <w:szCs w:val="24"/>
          </w:rPr>
          <w:t>Decreto 1045 de 1978</w:t>
        </w:r>
      </w:hyperlink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autoriza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reconocer a los empleados públicos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la compensación de vacaciones en dinero cuando el jefe del respectivo organismo así lo considere para evitar perjuicios en el servicio público, o cuando el empleado quede retirado del servicio sin haber disfrutado de las vacaciones causadas.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Que el artículo 29 del mismo Decreto establece que “... la prima vacacional no se pierde cuando se autoriza el pago de las vacaciones en dinero”.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Que el(a) señor(a) (nombre) identificado (a) con la cédula de ciudadanía número (___), (Denominación) Código (</w:t>
      </w:r>
      <w:r w:rsidR="005573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) Grado (</w:t>
      </w:r>
      <w:r w:rsidR="005573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), de la planta global de (Nombre de la Entidad), con una remuneración básica mensual de (Cifra en letras) ($ ____.</w:t>
      </w:r>
      <w:proofErr w:type="spellStart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proofErr w:type="spellEnd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) moneda corriente, fue vinculado (a) a esta entidad desde el (día) de (mes) de (año) mediante nombramiento (tipo de vinculación).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Que el(a) citado (a)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servidor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(a), mediante oficio (número y fecha) solicitó le sean concedidos (cifra en letras) (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  <w:t xml:space="preserve">) días hábiles de vacaciones por el año de servicios prestados en forma continua entre el (día) de (mes) de (año) y el (día) de (mes) de (año).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C97B85" w:rsidRDefault="003B452E" w:rsidP="00241DC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97B85">
        <w:rPr>
          <w:rFonts w:ascii="Arial" w:eastAsia="Arial" w:hAnsi="Arial" w:cs="Arial"/>
          <w:color w:val="000000"/>
          <w:spacing w:val="1"/>
          <w:sz w:val="24"/>
          <w:szCs w:val="24"/>
        </w:rPr>
        <w:t>Que mediante comunicación del (día) de (mes) de (año), (nombre del jefe inmediato), (Denominación empleo) de la (entidad), solicitó que las vacaciones del empleado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C97B8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(nombre) sean compensadas en dinero por necesidades del servicio. </w:t>
      </w:r>
      <w:r w:rsidRPr="00C97B85">
        <w:rPr>
          <w:rFonts w:ascii="Arial" w:hAnsi="Arial" w:cs="Arial"/>
          <w:color w:val="000000"/>
          <w:sz w:val="24"/>
          <w:szCs w:val="24"/>
        </w:rPr>
        <w:t>(Se pueden incluir específicamente las razones de necesidades del servicio)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lastRenderedPageBreak/>
        <w:t>Que los empleados públicos (en este caso para empleados públicos de la rama ejecutiva, en caso de pertenecer a otro régimen, verificar la norma especial) tienen derecho a una bonificación especial de recreación por cada periodo de vacaciones, aun cuando estas se compensan en dinero.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Que el(a) servidor (a) (nombre) tiene derecho al reconocimiento de la compensación en dinero de las vacaciones, la prima de vacaciones y la bonificación especial por recreación, conf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orme a la siguiente liquidación: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b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SALARIO BASE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b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Asignación Básica</w:t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$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Los incrementos de remuneración a que se refieren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proofErr w:type="gramStart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los</w:t>
      </w:r>
      <w:proofErr w:type="gramEnd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artículos 49 y 97 del </w:t>
      </w:r>
      <w:hyperlink r:id="rId8" w:history="1">
        <w:r w:rsidRPr="00FA50E7">
          <w:rPr>
            <w:rStyle w:val="Hipervnculo"/>
            <w:rFonts w:ascii="Arial" w:eastAsia="Arial" w:hAnsi="Arial" w:cs="Arial"/>
            <w:spacing w:val="1"/>
            <w:sz w:val="24"/>
            <w:szCs w:val="24"/>
          </w:rPr>
          <w:t>Decreto-Ley 1042 de 1978</w:t>
        </w:r>
      </w:hyperlink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;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$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Los gastos de representación;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$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La prima técnica;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$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Los auxilios de alimentación y de transporte;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$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La prima de servicios;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$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La bonificación por servicios prestados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$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b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b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(Los anteriores factores</w:t>
      </w:r>
      <w:r w:rsidR="005573E3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salariales</w:t>
      </w:r>
      <w:r w:rsidR="005573E3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se tendrán en cuenta según el caso en particular)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TOTAL SALARIO BASE VACACIONES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  <w:t>$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Indemnización vacaciones (___) días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$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Prima de Vacaciones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  <w:t xml:space="preserve">$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Bonificación Especial de Recreación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ab/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$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AA1DD7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1DD7">
        <w:rPr>
          <w:rFonts w:ascii="Arial" w:hAnsi="Arial" w:cs="Arial"/>
          <w:bCs/>
          <w:color w:val="000000"/>
          <w:sz w:val="24"/>
          <w:szCs w:val="24"/>
        </w:rPr>
        <w:t xml:space="preserve">Que en consecuencia, es procedente </w:t>
      </w:r>
      <w:r>
        <w:rPr>
          <w:rFonts w:ascii="Arial" w:hAnsi="Arial" w:cs="Arial"/>
          <w:bCs/>
          <w:color w:val="000000"/>
          <w:sz w:val="24"/>
          <w:szCs w:val="24"/>
        </w:rPr>
        <w:t>reconocer la compensación en dinero d</w:t>
      </w:r>
      <w:r w:rsidRPr="00AA1DD7">
        <w:rPr>
          <w:rFonts w:ascii="Arial" w:hAnsi="Arial" w:cs="Arial"/>
          <w:bCs/>
          <w:color w:val="000000"/>
          <w:sz w:val="24"/>
          <w:szCs w:val="24"/>
        </w:rPr>
        <w:t>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vacaciones causadas y no disfrutadas</w:t>
      </w:r>
      <w:r w:rsidRPr="00AA1DD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B452E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En mérito de lo anteriormente expuesto,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b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R E S U E L V E: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Artículo 1.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>Reconocimiento de la compensación en dinero</w:t>
      </w:r>
      <w:r w:rsidRPr="00516020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de vacaciones.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Reconocer la compensación en dinero de (cifra en letras) (___) días hábiles de vacaciones comprendidos entre el (día) de (mes) de (año) y el (día) de (mes) de (año) inclusive, la correspondiente prima vacacional y la bonificación especial de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lastRenderedPageBreak/>
        <w:t>recreación al(a) señor(a) (nombre) identificado(a) con cédula de ciudadanía número (___) de (Ciudad), de acuerdo con lo expuesto en la parte motiva.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Artículo 2.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>C</w:t>
      </w:r>
      <w:r w:rsidRPr="00421B48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ompensación en dinero de vacaciones.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Ordenar el pago de la suma de (Cifra en letras) ($____.</w:t>
      </w:r>
      <w:proofErr w:type="spellStart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proofErr w:type="spellEnd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PESOS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MONEDA CORRIENTE, por concepto de compensación en dinero de vacaciones al (a) señor(a) (nombre)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,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 acuerdo con lo expuesto en la parte motiva. El pago respectivo será cubierto por (Nombre de la Entidad) con cargo a (______) para la presente vigencia fiscal.</w:t>
      </w:r>
    </w:p>
    <w:p w:rsidR="003B452E" w:rsidRPr="00421B48" w:rsidRDefault="005573E3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Artículo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3.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Compensación en dinero de la prima vacacional.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Ordenar el pago de la suma de (Cifra en letras) ($___.</w:t>
      </w:r>
      <w:proofErr w:type="spellStart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proofErr w:type="spellEnd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) PESOS MONEDA CORRIENTE, por concepto de prima de vacaciones al(a) señor(a) (nombre)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,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 acuerdo con lo expuesto en la parte motiva del presente acto administrativo. El pago respectivo será cubierto por (Nombre de la Entidad) con cargo a (_____) para la presente vigencia fiscal.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Artículo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4.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Bonificación Especial de Recreación.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Ordenar el pago de la suma de (Cifra en letras) ($___.</w:t>
      </w:r>
      <w:proofErr w:type="spellStart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proofErr w:type="spellEnd"/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PESOS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MONEDA CORRIENTE, por concepto de bonificación especial de recreación al(a) señor(a) (nombre)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,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 acuerdo con lo expuesto en la parte motiva del presente acto administrativo. El pago respectivo será cubierto por la (Nombre de la Entidad) con cargo a (_______) para la presente vigencia fiscal.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Artículo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5.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21B48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Vigencia. </w:t>
      </w: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La presente resolución rige a partir de la fecha de su expedición.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COMUNÍQUESE Y CÚMPLASE.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21B48">
        <w:rPr>
          <w:rFonts w:ascii="Arial" w:eastAsia="Arial" w:hAnsi="Arial" w:cs="Arial"/>
          <w:color w:val="000000"/>
          <w:spacing w:val="1"/>
          <w:sz w:val="24"/>
          <w:szCs w:val="24"/>
        </w:rPr>
        <w:t>Dada en (Ciudad), a los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1B48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1B48">
        <w:rPr>
          <w:rFonts w:ascii="Arial" w:hAnsi="Arial" w:cs="Arial"/>
          <w:color w:val="000000"/>
          <w:sz w:val="24"/>
          <w:szCs w:val="24"/>
        </w:rPr>
        <w:t>(Nominador)</w:t>
      </w:r>
    </w:p>
    <w:p w:rsidR="003B452E" w:rsidRPr="00421B48" w:rsidRDefault="003B452E" w:rsidP="003B452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3B452E" w:rsidRPr="00421B48" w:rsidRDefault="003B452E" w:rsidP="003B452E">
      <w:pPr>
        <w:rPr>
          <w:rFonts w:ascii="Arial" w:hAnsi="Arial" w:cs="Arial"/>
          <w:sz w:val="24"/>
          <w:szCs w:val="24"/>
        </w:rPr>
      </w:pPr>
    </w:p>
    <w:p w:rsidR="00EA4653" w:rsidRDefault="00EA4653"/>
    <w:sectPr w:rsidR="00EA4653" w:rsidSect="003B45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76" w:rsidRDefault="00226C76" w:rsidP="003B452E">
      <w:pPr>
        <w:spacing w:after="0" w:line="240" w:lineRule="auto"/>
      </w:pPr>
      <w:r>
        <w:separator/>
      </w:r>
    </w:p>
  </w:endnote>
  <w:endnote w:type="continuationSeparator" w:id="0">
    <w:p w:rsidR="00226C76" w:rsidRDefault="00226C76" w:rsidP="003B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E" w:rsidRDefault="003B45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E" w:rsidRDefault="003B452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E" w:rsidRDefault="003B45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76" w:rsidRDefault="00226C76" w:rsidP="003B452E">
      <w:pPr>
        <w:spacing w:after="0" w:line="240" w:lineRule="auto"/>
      </w:pPr>
      <w:r>
        <w:separator/>
      </w:r>
    </w:p>
  </w:footnote>
  <w:footnote w:type="continuationSeparator" w:id="0">
    <w:p w:rsidR="00226C76" w:rsidRDefault="00226C76" w:rsidP="003B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E" w:rsidRDefault="003B45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E" w:rsidRDefault="003B452E" w:rsidP="003531E7">
    <w:pPr>
      <w:pStyle w:val="Encabezado"/>
      <w:jc w:val="both"/>
    </w:pPr>
    <w:r>
      <w:t>RESOLUCIÓN NÚMERO ______________________DE ______________________</w:t>
    </w:r>
    <w:r w:rsidR="005573E3">
      <w:t xml:space="preserve"> </w:t>
    </w:r>
    <w:r w:rsidR="003531E7"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714C4" w:rsidRPr="00C714C4">
      <w:rPr>
        <w:b/>
        <w:noProof/>
        <w:lang w:val="es-ES"/>
      </w:rPr>
      <w:t>3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714C4" w:rsidRPr="00C714C4">
      <w:rPr>
        <w:b/>
        <w:noProof/>
        <w:lang w:val="es-ES"/>
      </w:rPr>
      <w:t>3</w:t>
    </w:r>
    <w:r>
      <w:rPr>
        <w:b/>
      </w:rPr>
      <w:fldChar w:fldCharType="end"/>
    </w:r>
  </w:p>
  <w:p w:rsidR="003B452E" w:rsidRDefault="003B452E" w:rsidP="003B452E">
    <w:pPr>
      <w:pStyle w:val="Encabezado"/>
    </w:pPr>
  </w:p>
  <w:p w:rsidR="003B452E" w:rsidRDefault="003B452E" w:rsidP="003B452E">
    <w:pPr>
      <w:pStyle w:val="Encabezado"/>
      <w:jc w:val="center"/>
    </w:pPr>
    <w:r>
      <w:t>“</w:t>
    </w:r>
    <w:r w:rsidRPr="005573E3">
      <w:rPr>
        <w:rFonts w:asciiTheme="majorHAnsi" w:hAnsiTheme="majorHAnsi"/>
        <w:sz w:val="20"/>
      </w:rPr>
      <w:t xml:space="preserve">Por la cual se </w:t>
    </w:r>
    <w:r w:rsidRPr="005573E3">
      <w:rPr>
        <w:rFonts w:asciiTheme="majorHAnsi" w:eastAsia="Arial" w:hAnsiTheme="majorHAnsi" w:cs="Arial"/>
        <w:color w:val="000000"/>
        <w:spacing w:val="1"/>
        <w:sz w:val="20"/>
      </w:rPr>
      <w:t>reconoce la compensación en dinero de unas vacaciones causadas y no disfrutadas, la prima de vacaciones y la bonificación especial</w:t>
    </w:r>
    <w:r>
      <w:rPr>
        <w:rFonts w:asciiTheme="majorHAnsi" w:eastAsia="Arial" w:hAnsiTheme="majorHAnsi" w:cs="Arial"/>
        <w:color w:val="000000"/>
        <w:spacing w:val="1"/>
        <w:sz w:val="20"/>
      </w:rPr>
      <w:t xml:space="preserve"> </w:t>
    </w:r>
    <w:r w:rsidRPr="005573E3">
      <w:rPr>
        <w:rFonts w:asciiTheme="majorHAnsi" w:eastAsia="Arial" w:hAnsiTheme="majorHAnsi" w:cs="Arial"/>
        <w:color w:val="000000"/>
        <w:spacing w:val="1"/>
        <w:sz w:val="20"/>
      </w:rPr>
      <w:t>por recreación a un empleado</w:t>
    </w:r>
    <w:r w:rsidRPr="005573E3">
      <w:rPr>
        <w:rFonts w:asciiTheme="majorHAnsi" w:hAnsiTheme="majorHAnsi"/>
        <w:sz w:val="20"/>
      </w:rPr>
      <w:t>”</w:t>
    </w:r>
  </w:p>
  <w:p w:rsidR="003B452E" w:rsidRDefault="003B452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E" w:rsidRDefault="003B45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2E"/>
    <w:rsid w:val="00226C76"/>
    <w:rsid w:val="00241DC6"/>
    <w:rsid w:val="00247374"/>
    <w:rsid w:val="002E28BF"/>
    <w:rsid w:val="003531E7"/>
    <w:rsid w:val="003B452E"/>
    <w:rsid w:val="00446CEF"/>
    <w:rsid w:val="005573E3"/>
    <w:rsid w:val="007F019A"/>
    <w:rsid w:val="00B00035"/>
    <w:rsid w:val="00BB7B50"/>
    <w:rsid w:val="00C714C4"/>
    <w:rsid w:val="00EA0013"/>
    <w:rsid w:val="00E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2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4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4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B452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45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52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B45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52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52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452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41D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1D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1DC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D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DC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2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4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4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B452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45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52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B45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52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52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452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41D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1D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1DC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D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DC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658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6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2018-02-22T18:35:00Z</dcterms:created>
  <dcterms:modified xsi:type="dcterms:W3CDTF">2018-02-22T18:35:00Z</dcterms:modified>
</cp:coreProperties>
</file>