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46F9E" w14:textId="77777777" w:rsidR="002D5F0D" w:rsidRPr="002D5F0D" w:rsidRDefault="002D5F0D" w:rsidP="002D5F0D">
      <w:pPr>
        <w:jc w:val="center"/>
        <w:rPr>
          <w:rFonts w:ascii="Helvetica" w:hAnsi="Helvetica" w:cs="Helvetica"/>
          <w:b/>
          <w:bCs/>
          <w:szCs w:val="28"/>
        </w:rPr>
      </w:pPr>
      <w:r w:rsidRPr="002D5F0D">
        <w:rPr>
          <w:rFonts w:ascii="Helvetica" w:hAnsi="Helvetica" w:cs="Helvetica"/>
          <w:b/>
          <w:bCs/>
          <w:szCs w:val="28"/>
        </w:rPr>
        <w:t>Lista de Chequeo</w:t>
      </w:r>
    </w:p>
    <w:p w14:paraId="50167BE6" w14:textId="1AF55CAB" w:rsidR="002D5F0D" w:rsidRDefault="0030647A" w:rsidP="002D5F0D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Prestación de Servicios</w:t>
      </w:r>
    </w:p>
    <w:p w14:paraId="51F0CF55" w14:textId="72024EC2" w:rsidR="0030647A" w:rsidRPr="002D5F0D" w:rsidRDefault="0030647A" w:rsidP="002D5F0D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Mínima Cuantía</w:t>
      </w:r>
    </w:p>
    <w:p w14:paraId="5B939CE5" w14:textId="77777777" w:rsidR="00243F33" w:rsidRPr="002D5F0D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2D5F0D" w:rsidRPr="002D5F0D" w14:paraId="4BE4AF45" w14:textId="77777777" w:rsidTr="002D5F0D">
        <w:trPr>
          <w:trHeight w:val="208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156F9444" w:rsidR="002D5F0D" w:rsidRPr="002D5F0D" w:rsidRDefault="002D5F0D" w:rsidP="002D5F0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0" w:name="_Hlk163640822"/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7AB10C25" w:rsidR="002D5F0D" w:rsidRPr="002D5F0D" w:rsidRDefault="002D5F0D" w:rsidP="002D5F0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2F7C8109" w:rsidR="002D5F0D" w:rsidRPr="002D5F0D" w:rsidRDefault="002D5F0D" w:rsidP="002D5F0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7C70E35C" w:rsidR="002D5F0D" w:rsidRPr="002D5F0D" w:rsidRDefault="002D5F0D" w:rsidP="002D5F0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7F39DB" w:rsidRPr="002D5F0D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2D5F0D" w:rsidRDefault="002618B7" w:rsidP="000F0D3F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1.DOCUMENTOS PRECONTRACTUALES: </w:t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numeral (Del 1.1 al </w:t>
            </w:r>
            <w:r w:rsidR="00291FC5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1.</w:t>
            </w:r>
            <w:r w:rsidR="00A753DA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3</w:t>
            </w:r>
            <w:r w:rsidR="00291FC5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9</w:t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), en el siguiente orden</w:t>
            </w: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7F39DB" w:rsidRPr="002D5F0D" w14:paraId="11E364D3" w14:textId="77777777" w:rsidTr="002D5F0D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72F97A" w14:textId="67D9CD77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Director</w:t>
            </w:r>
            <w:proofErr w:type="gramEnd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99044" w14:textId="6AEB52A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05D76" w14:textId="60CEBAB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75DCF309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6D1BA429" w14:textId="77777777" w:rsidTr="002D5F0D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bookmarkStart w:id="1" w:name="_Hlk163641562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4AF7DB2E" w14:textId="77777777" w:rsidTr="002D5F0D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6AC1E04" w14:textId="77777777" w:rsidTr="002D5F0D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DB7D245" w14:textId="77777777" w:rsidTr="002D5F0D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35E25527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7062ACE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0874B404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6B7B4609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5DEF2D8" w14:textId="018D43BB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70D2D" w14:textId="2C47E483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66D7" w14:textId="5D163BCC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900E284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AE6B33C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03C70BCE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Matriz de riesgos</w:t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79E1D2E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7EF67CA8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93E6E18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5A2DFCFA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Invitación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7292255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40CED" w14:textId="6F3F01D7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0CFD0" w14:textId="0470C2B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1582B" w14:textId="74E9A65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42A02D9C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727BE6F2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D58BE3A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EAD85BC" w14:textId="70C92C13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Limitación </w:t>
            </w:r>
            <w:proofErr w:type="spellStart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Mipymes</w:t>
            </w:r>
            <w:proofErr w:type="spellEnd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0739D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8FFA51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</w:tr>
      <w:tr w:rsidR="007F39DB" w:rsidRPr="002D5F0D" w14:paraId="7A4E9E10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C793D5E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5E2C4B3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3F7C26E3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259BF84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2DB25F" w14:textId="4CEA92E0" w:rsidR="00746241" w:rsidRPr="002D5F0D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0A980" w14:textId="0F37C672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355CF" w14:textId="69C4B769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3ABD3998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9D5E4DF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746241" w:rsidRPr="002D5F0D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1AE91F7A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6C8C8A6D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3EF42484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654831BB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746241" w:rsidRPr="002D5F0D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5724536D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2AC01CC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35688CFD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EEDE730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746241" w:rsidRPr="002D5F0D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142A2686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24608535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45ABAA9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5BB7AFB0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39DCB49D" w:rsidR="00746241" w:rsidRPr="002D5F0D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5C813160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1462D72F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4583E91D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4DE1B7C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19FF9A" w14:textId="3D21961A" w:rsidR="00746241" w:rsidRPr="002D5F0D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/es económicos)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FBDE4" w14:textId="7092E78E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4B2E9" w14:textId="4ECA339D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3E2ADFC8" w:rsidR="00746241" w:rsidRPr="002D5F0D" w:rsidRDefault="00746241" w:rsidP="00746241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A34592A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04F06459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D7BC128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6D43CA59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de evaluación técnica preliminar (Suscrito por el/</w:t>
            </w:r>
            <w:proofErr w:type="gramStart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AC7248B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BEC34BB" w14:textId="77777777" w:rsidTr="00ED2720">
        <w:trPr>
          <w:trHeight w:val="70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lastRenderedPageBreak/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11F7452" w14:textId="77777777" w:rsidTr="002D5F0D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7C4EDBEE" w14:textId="77777777" w:rsidTr="002D5F0D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/es correspondientes)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F1AF780" w14:textId="77777777" w:rsidTr="002D5F0D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599CE938" w14:textId="77777777" w:rsidTr="002D5F0D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de evaluación técnica y económica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CCF01E1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FD6BF7C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B4F65DB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58A20DF5" w14:textId="77777777" w:rsidTr="002D5F0D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1F6AD2C5" w:rsidR="00313C06" w:rsidRPr="002D5F0D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Aceptación de oferta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313C06" w:rsidRPr="002D5F0D" w:rsidRDefault="00313C06" w:rsidP="00313C06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2.DOCUMENTOS CONTRACTUALES</w:t>
            </w: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7F39DB" w:rsidRPr="002D5F0D" w14:paraId="11E9B4A9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86BA27B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72CA4E24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72A9CFE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92B12E1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543FD2AC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666DD50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383A4148" w:rsidR="00313C06" w:rsidRPr="002D5F0D" w:rsidRDefault="00313C06" w:rsidP="00313C06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313C06" w:rsidRPr="002D5F0D" w:rsidRDefault="00313C06" w:rsidP="00313C06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3. DOCUMENTOS MODIFICACION CONTRACTUAL:</w:t>
            </w:r>
            <w:r w:rsidRPr="002D5F0D">
              <w:rPr>
                <w:rFonts w:ascii="Helvetica" w:hAnsi="Helvetica" w:cs="Helvetica"/>
                <w:bCs/>
                <w:color w:val="000000" w:themeColor="text1"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</w:t>
            </w:r>
          </w:p>
        </w:tc>
      </w:tr>
      <w:tr w:rsidR="007F39DB" w:rsidRPr="002D5F0D" w14:paraId="7356AEEA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5BB31DE7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229B861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9615E83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BEAEDF3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5EB77BB0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4010E4CE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E691F11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0E3505DD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46CCB579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4D7D77A7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21C071E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57D96366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9579389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777B2960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BE2C815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C3A311" w14:textId="586DBBDB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3BB2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F0037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441142F6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3B5CC96C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3DECC2E3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5429F85" w14:textId="553F76F2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EAE72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324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2EDAABB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1C8E06C4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4F00FE07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7A6209FB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lastRenderedPageBreak/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0A3E2645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2C5F9940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5F7DDD1D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57666485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820B5B9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28E6850E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408A767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2E581CAE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57167FA5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B0AEBC9" w14:textId="0EA32E4B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884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C511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7F3F443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491FBDEC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6103A701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EA1234C" w14:textId="004ACD4F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3DBCB" w14:textId="3809B70C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3FC00" w14:textId="64CA2E4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444F56C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7FC6F8EC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64DCC549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67E480E6" w:rsidR="00313C06" w:rsidRPr="002D5F0D" w:rsidRDefault="00313C06" w:rsidP="00313C06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313C06" w:rsidRPr="002D5F0D" w:rsidRDefault="00313C06" w:rsidP="00313C06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4. DOCUMENTOS CIERRE Y/O LIQUIDACIÓN</w:t>
            </w:r>
            <w:r w:rsidRPr="002D5F0D">
              <w:rPr>
                <w:rFonts w:ascii="Helvetica" w:hAnsi="Helvetica" w:cs="Helvetica"/>
                <w:bCs/>
                <w:color w:val="000000" w:themeColor="text1"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2D5F0D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7F39DB" w:rsidRPr="002D5F0D" w14:paraId="5BF1747B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313C06" w:rsidRPr="002D5F0D" w:rsidRDefault="00313C06" w:rsidP="00313C06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1D7CE805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313C06" w:rsidRPr="002D5F0D" w:rsidRDefault="00313C06" w:rsidP="00313C06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6904908C" w14:textId="77777777" w:rsidTr="002D5F0D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313C06" w:rsidRPr="002D5F0D" w:rsidRDefault="00313C06" w:rsidP="00313C06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ED2720"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2D5F0D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2D5F0D" w14:paraId="255EC5BE" w14:textId="77777777" w:rsidTr="00AA1309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313C06" w:rsidRPr="002D5F0D" w:rsidRDefault="00313C06" w:rsidP="00313C06">
            <w:pPr>
              <w:ind w:left="-4"/>
              <w:jc w:val="both"/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</w:pPr>
            <w:r w:rsidRPr="002D5F0D"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433F16AD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6655C06A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33CEF376" w14:textId="77777777" w:rsidR="00313C06" w:rsidRPr="002D5F0D" w:rsidRDefault="00313C06" w:rsidP="00313C06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</w:tr>
      <w:bookmarkEnd w:id="0"/>
      <w:bookmarkEnd w:id="1"/>
    </w:tbl>
    <w:p w14:paraId="6F2A3362" w14:textId="77777777" w:rsidR="002618B7" w:rsidRPr="002D5F0D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2D5F0D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6691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98543EB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A2C0EA1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AB66AFF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173A17F9" w:rsidR="00195558" w:rsidRPr="002D5F0D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2D5F0D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21EC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7F16B3A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FC5674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F59A62E" w14:textId="77777777" w:rsidR="008E0703" w:rsidRDefault="008E0703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158D78A2" w:rsidR="00195558" w:rsidRPr="002D5F0D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2D5F0D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2D5F0D" w14:paraId="0009BDEB" w14:textId="77777777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6B634387" w:rsidR="00195558" w:rsidRPr="002D5F0D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2D5F0D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8E0703">
              <w:rPr>
                <w:rFonts w:ascii="Helvetica" w:hAnsi="Helvetica" w:cs="Helvetica"/>
                <w:sz w:val="20"/>
              </w:rPr>
              <w:t>s</w:t>
            </w:r>
            <w:bookmarkStart w:id="2" w:name="_GoBack"/>
            <w:bookmarkEnd w:id="2"/>
            <w:r w:rsidR="008E0703">
              <w:rPr>
                <w:rFonts w:ascii="Helvetica" w:hAnsi="Helvetica" w:cs="Helvetica"/>
                <w:sz w:val="20"/>
              </w:rPr>
              <w:t>ervidor(a)</w:t>
            </w:r>
            <w:r w:rsidRPr="002D5F0D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64BCFA83" w:rsidR="00195558" w:rsidRPr="002D5F0D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2D5F0D">
              <w:rPr>
                <w:rFonts w:ascii="Helvetica" w:hAnsi="Helvetica" w:cs="Helvetica"/>
                <w:sz w:val="20"/>
              </w:rPr>
              <w:t>Aprobó: Nombre completo del</w:t>
            </w:r>
            <w:r w:rsidR="008E0703">
              <w:rPr>
                <w:rFonts w:ascii="Helvetica" w:hAnsi="Helvetica" w:cs="Helvetica"/>
                <w:sz w:val="20"/>
              </w:rPr>
              <w:t xml:space="preserve"> s</w:t>
            </w:r>
            <w:r w:rsidR="008E0703">
              <w:rPr>
                <w:rFonts w:ascii="Helvetica" w:hAnsi="Helvetica" w:cs="Helvetica"/>
                <w:sz w:val="20"/>
              </w:rPr>
              <w:t>ervidor(a)</w:t>
            </w:r>
          </w:p>
        </w:tc>
      </w:tr>
    </w:tbl>
    <w:p w14:paraId="41021F5A" w14:textId="77777777" w:rsidR="002618B7" w:rsidRPr="002D5F0D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2D5F0D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2D5F0D" w:rsidSect="00ED2720">
      <w:headerReference w:type="default" r:id="rId11"/>
      <w:footerReference w:type="default" r:id="rId12"/>
      <w:pgSz w:w="12250" w:h="15850"/>
      <w:pgMar w:top="1928" w:right="1193" w:bottom="1985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B7E5" w14:textId="77777777" w:rsidR="00AC68CC" w:rsidRDefault="00AC68CC">
      <w:r>
        <w:separator/>
      </w:r>
    </w:p>
  </w:endnote>
  <w:endnote w:type="continuationSeparator" w:id="0">
    <w:p w14:paraId="7B76A7A3" w14:textId="77777777" w:rsidR="00AC68CC" w:rsidRDefault="00A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D2720" w:rsidRPr="004215A8" w14:paraId="1A51AB88" w14:textId="77777777" w:rsidTr="00ED2720">
      <w:tc>
        <w:tcPr>
          <w:tcW w:w="2929" w:type="dxa"/>
          <w:shd w:val="clear" w:color="auto" w:fill="auto"/>
        </w:tcPr>
        <w:p w14:paraId="5FD8B4E6" w14:textId="77777777" w:rsidR="00ED2720" w:rsidRPr="004215A8" w:rsidRDefault="00ED2720" w:rsidP="00ED272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3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2E3D2C" wp14:editId="6AEDA6B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179BC4B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17A0BBD7" w14:textId="77777777" w:rsidR="00ED2720" w:rsidRPr="004215A8" w:rsidRDefault="00ED2720" w:rsidP="00ED272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C52F5B5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65A8E8FC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BFEE949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1D4851EA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7A7B40EA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65765913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084428B7" w14:textId="77777777" w:rsidR="00ED2720" w:rsidRPr="004215A8" w:rsidRDefault="00ED2720" w:rsidP="00ED272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39DA9CCB" w14:textId="77777777" w:rsidR="00ED2720" w:rsidRPr="004215A8" w:rsidRDefault="00ED2720" w:rsidP="00ED2720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12BDE6F3" w14:textId="77777777" w:rsidR="00ED2720" w:rsidRPr="004215A8" w:rsidRDefault="00ED2720" w:rsidP="00ED2720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3" w:displacedByCustomXml="next"/>
  <w:sdt>
    <w:sdtPr>
      <w:id w:val="1720397734"/>
      <w:docPartObj>
        <w:docPartGallery w:val="Page Numbers (Bottom of Page)"/>
        <w:docPartUnique/>
      </w:docPartObj>
    </w:sdtPr>
    <w:sdtContent>
      <w:p w14:paraId="7298B96E" w14:textId="257C326A" w:rsidR="00ED2720" w:rsidRDefault="00ED27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3239E87C" w:rsidR="00ED2720" w:rsidRDefault="00ED2720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CE0F" w14:textId="77777777" w:rsidR="00AC68CC" w:rsidRDefault="00AC68CC">
      <w:r>
        <w:separator/>
      </w:r>
    </w:p>
  </w:footnote>
  <w:footnote w:type="continuationSeparator" w:id="0">
    <w:p w14:paraId="0FBC0D4B" w14:textId="77777777" w:rsidR="00AC68CC" w:rsidRDefault="00A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4D8A7EDB" w:rsidR="00ED2720" w:rsidRDefault="00ED2720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553177EA" wp14:editId="4057B3FA">
          <wp:simplePos x="0" y="0"/>
          <wp:positionH relativeFrom="column">
            <wp:posOffset>2628900</wp:posOffset>
          </wp:positionH>
          <wp:positionV relativeFrom="paragraph">
            <wp:posOffset>-635</wp:posOffset>
          </wp:positionV>
          <wp:extent cx="1130300" cy="529077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ED2720" w:rsidRPr="00243F33" w:rsidRDefault="00ED2720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95558"/>
    <w:rsid w:val="001E0078"/>
    <w:rsid w:val="00235471"/>
    <w:rsid w:val="00243F33"/>
    <w:rsid w:val="00247E2F"/>
    <w:rsid w:val="002618B7"/>
    <w:rsid w:val="00291FC5"/>
    <w:rsid w:val="002C44AF"/>
    <w:rsid w:val="002D5F0D"/>
    <w:rsid w:val="0030647A"/>
    <w:rsid w:val="00313C06"/>
    <w:rsid w:val="003B6612"/>
    <w:rsid w:val="004001F1"/>
    <w:rsid w:val="00442F59"/>
    <w:rsid w:val="00486B1C"/>
    <w:rsid w:val="004C3A81"/>
    <w:rsid w:val="005134D8"/>
    <w:rsid w:val="005200AB"/>
    <w:rsid w:val="005363F7"/>
    <w:rsid w:val="00595454"/>
    <w:rsid w:val="005D34FE"/>
    <w:rsid w:val="005F78E5"/>
    <w:rsid w:val="00601ABD"/>
    <w:rsid w:val="0061186F"/>
    <w:rsid w:val="006328D6"/>
    <w:rsid w:val="0064028A"/>
    <w:rsid w:val="006455A1"/>
    <w:rsid w:val="006642C8"/>
    <w:rsid w:val="006D7B34"/>
    <w:rsid w:val="006E3162"/>
    <w:rsid w:val="00746241"/>
    <w:rsid w:val="00755A9F"/>
    <w:rsid w:val="00776DD4"/>
    <w:rsid w:val="007C7AAA"/>
    <w:rsid w:val="007F39DB"/>
    <w:rsid w:val="0080211A"/>
    <w:rsid w:val="00813EBF"/>
    <w:rsid w:val="00830741"/>
    <w:rsid w:val="00872D58"/>
    <w:rsid w:val="008A595B"/>
    <w:rsid w:val="008B432C"/>
    <w:rsid w:val="008E0703"/>
    <w:rsid w:val="00933171"/>
    <w:rsid w:val="009A4DFB"/>
    <w:rsid w:val="00A2398A"/>
    <w:rsid w:val="00A57BAD"/>
    <w:rsid w:val="00A753DA"/>
    <w:rsid w:val="00A87D91"/>
    <w:rsid w:val="00AA1309"/>
    <w:rsid w:val="00AB0772"/>
    <w:rsid w:val="00AC68CC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D2C03"/>
    <w:rsid w:val="00CD3E94"/>
    <w:rsid w:val="00CD7987"/>
    <w:rsid w:val="00CE4D1F"/>
    <w:rsid w:val="00D41813"/>
    <w:rsid w:val="00D70167"/>
    <w:rsid w:val="00ED2720"/>
    <w:rsid w:val="00F5539A"/>
    <w:rsid w:val="00F722C0"/>
    <w:rsid w:val="00FA1D15"/>
    <w:rsid w:val="00FA34B3"/>
    <w:rsid w:val="00FA45A7"/>
    <w:rsid w:val="00FC54F8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ED2720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ED2720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225EA-2D37-47EC-8812-85F225A6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1455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2024-08-27T15:36:00Z</dcterms:created>
  <dcterms:modified xsi:type="dcterms:W3CDTF">2024-08-27T15:36:00Z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