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2E" w:rsidRPr="00AF732A" w:rsidRDefault="0029512E" w:rsidP="0029512E">
      <w:pPr>
        <w:pStyle w:val="Ttulo3"/>
        <w:rPr>
          <w:color w:val="E36C0A" w:themeColor="accent6" w:themeShade="BF"/>
        </w:rPr>
      </w:pPr>
      <w:bookmarkStart w:id="0" w:name="_Toc499533703"/>
      <w:bookmarkStart w:id="1" w:name="_Toc513109852"/>
      <w:bookmarkStart w:id="2" w:name="_GoBack"/>
      <w:r w:rsidRPr="00AF732A">
        <w:rPr>
          <w:color w:val="E36C0A" w:themeColor="accent6" w:themeShade="BF"/>
        </w:rPr>
        <w:t>INSTRUMENTO N</w:t>
      </w:r>
      <w:r>
        <w:rPr>
          <w:color w:val="E36C0A" w:themeColor="accent6" w:themeShade="BF"/>
        </w:rPr>
        <w:t>o</w:t>
      </w:r>
      <w:r w:rsidRPr="00AF732A">
        <w:rPr>
          <w:color w:val="E36C0A" w:themeColor="accent6" w:themeShade="BF"/>
        </w:rPr>
        <w:t>. 13 LISTA DE EVALUACIÓN DE LA CALIDAD DE LA INFORMACIÓN</w:t>
      </w:r>
      <w:bookmarkEnd w:id="0"/>
      <w:bookmarkEnd w:id="1"/>
    </w:p>
    <w:bookmarkEnd w:id="2"/>
    <w:p w:rsidR="0029512E" w:rsidRPr="00D857C6" w:rsidRDefault="0029512E" w:rsidP="0029512E">
      <w:pPr>
        <w:pBdr>
          <w:top w:val="nil"/>
          <w:left w:val="nil"/>
          <w:bottom w:val="nil"/>
          <w:right w:val="nil"/>
          <w:between w:val="nil"/>
        </w:pBdr>
        <w:spacing w:after="0" w:line="240" w:lineRule="auto"/>
        <w:rPr>
          <w:rFonts w:ascii="Arial" w:eastAsia="Calibri" w:hAnsi="Arial" w:cs="Arial"/>
          <w:color w:val="ED7D31"/>
          <w:lang w:eastAsia="es-CO"/>
        </w:rPr>
      </w:pPr>
    </w:p>
    <w:p w:rsidR="0029512E" w:rsidRDefault="0029512E" w:rsidP="0029512E">
      <w:pPr>
        <w:ind w:right="26"/>
        <w:jc w:val="both"/>
        <w:rPr>
          <w:rFonts w:ascii="Calibri" w:hAnsi="Calibri" w:cs="Arial"/>
          <w:snapToGrid w:val="0"/>
          <w:sz w:val="24"/>
          <w:szCs w:val="24"/>
        </w:rPr>
      </w:pPr>
      <w:r w:rsidRPr="003176A7">
        <w:rPr>
          <w:rFonts w:ascii="Calibri" w:hAnsi="Calibri" w:cs="Arial"/>
          <w:snapToGrid w:val="0"/>
          <w:sz w:val="24"/>
          <w:szCs w:val="24"/>
        </w:rPr>
        <w:t>Las características para evaluar la calidad</w:t>
      </w:r>
      <w:r>
        <w:rPr>
          <w:rFonts w:ascii="Calibri" w:hAnsi="Calibri" w:cs="Arial"/>
          <w:snapToGrid w:val="0"/>
          <w:sz w:val="24"/>
          <w:szCs w:val="24"/>
        </w:rPr>
        <w:t xml:space="preserve"> de la información</w:t>
      </w:r>
      <w:r w:rsidRPr="00490A13">
        <w:rPr>
          <w:rFonts w:ascii="Albertus Medium" w:hAnsi="Albertus Medium"/>
          <w:szCs w:val="28"/>
          <w:vertAlign w:val="superscript"/>
        </w:rPr>
        <w:footnoteReference w:id="1"/>
      </w:r>
      <w:r>
        <w:rPr>
          <w:rFonts w:ascii="Calibri" w:hAnsi="Calibri" w:cs="Arial"/>
          <w:snapToGrid w:val="0"/>
          <w:sz w:val="24"/>
          <w:szCs w:val="24"/>
        </w:rPr>
        <w:t xml:space="preserve">: </w:t>
      </w:r>
    </w:p>
    <w:tbl>
      <w:tblPr>
        <w:tblW w:w="796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9"/>
        <w:gridCol w:w="861"/>
        <w:gridCol w:w="6168"/>
      </w:tblGrid>
      <w:tr w:rsidR="0029512E" w:rsidRPr="00253AF8" w:rsidTr="002C2B1F">
        <w:tc>
          <w:tcPr>
            <w:tcW w:w="939" w:type="dxa"/>
            <w:shd w:val="clear" w:color="auto" w:fill="auto"/>
          </w:tcPr>
          <w:p w:rsidR="0029512E" w:rsidRPr="00253AF8" w:rsidRDefault="0029512E" w:rsidP="002C2B1F">
            <w:pPr>
              <w:jc w:val="center"/>
              <w:rPr>
                <w:rFonts w:ascii="Arial" w:eastAsia="Times New Roman" w:hAnsi="Arial" w:cs="Arial"/>
                <w:b/>
                <w:sz w:val="20"/>
              </w:rPr>
            </w:pPr>
            <w:r w:rsidRPr="00253AF8">
              <w:rPr>
                <w:rFonts w:ascii="Arial" w:eastAsia="Times New Roman" w:hAnsi="Arial" w:cs="Arial"/>
                <w:b/>
                <w:sz w:val="20"/>
              </w:rPr>
              <w:t>SI</w:t>
            </w:r>
          </w:p>
        </w:tc>
        <w:tc>
          <w:tcPr>
            <w:tcW w:w="861" w:type="dxa"/>
            <w:shd w:val="clear" w:color="auto" w:fill="auto"/>
          </w:tcPr>
          <w:p w:rsidR="0029512E" w:rsidRPr="00253AF8" w:rsidRDefault="0029512E" w:rsidP="002C2B1F">
            <w:pPr>
              <w:jc w:val="center"/>
              <w:rPr>
                <w:rFonts w:ascii="Arial" w:eastAsia="Times New Roman" w:hAnsi="Arial" w:cs="Arial"/>
                <w:b/>
                <w:sz w:val="20"/>
              </w:rPr>
            </w:pPr>
            <w:r w:rsidRPr="00253AF8">
              <w:rPr>
                <w:rFonts w:ascii="Arial" w:eastAsia="Times New Roman" w:hAnsi="Arial" w:cs="Arial"/>
                <w:b/>
                <w:sz w:val="20"/>
              </w:rPr>
              <w:t>NO</w:t>
            </w:r>
          </w:p>
        </w:tc>
        <w:tc>
          <w:tcPr>
            <w:tcW w:w="6168" w:type="dxa"/>
            <w:shd w:val="clear" w:color="auto" w:fill="auto"/>
          </w:tcPr>
          <w:p w:rsidR="0029512E" w:rsidRPr="00253AF8" w:rsidRDefault="0029512E" w:rsidP="002C2B1F">
            <w:pPr>
              <w:ind w:right="26"/>
              <w:jc w:val="center"/>
              <w:rPr>
                <w:rFonts w:ascii="Calibri" w:eastAsia="Times New Roman" w:hAnsi="Calibri" w:cs="Arial"/>
                <w:b/>
                <w:snapToGrid w:val="0"/>
                <w:sz w:val="20"/>
              </w:rPr>
            </w:pPr>
            <w:r w:rsidRPr="00253AF8">
              <w:rPr>
                <w:rFonts w:ascii="Calibri" w:eastAsia="Times New Roman" w:hAnsi="Calibri" w:cs="Arial"/>
                <w:b/>
                <w:snapToGrid w:val="0"/>
                <w:sz w:val="20"/>
              </w:rPr>
              <w:t>CALIDAD DE LA INFORMACIÓN</w:t>
            </w:r>
          </w:p>
        </w:tc>
      </w:tr>
      <w:tr w:rsidR="0029512E" w:rsidRPr="00253AF8" w:rsidTr="002C2B1F">
        <w:tc>
          <w:tcPr>
            <w:tcW w:w="939" w:type="dxa"/>
            <w:shd w:val="clear" w:color="auto" w:fill="auto"/>
          </w:tcPr>
          <w:p w:rsidR="0029512E" w:rsidRPr="00253AF8" w:rsidRDefault="0029512E" w:rsidP="0029512E">
            <w:pPr>
              <w:numPr>
                <w:ilvl w:val="0"/>
                <w:numId w:val="1"/>
              </w:numPr>
              <w:tabs>
                <w:tab w:val="clear" w:pos="360"/>
                <w:tab w:val="num" w:pos="600"/>
              </w:tabs>
              <w:spacing w:after="0" w:line="240" w:lineRule="auto"/>
              <w:ind w:left="600" w:hanging="600"/>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tabs>
                <w:tab w:val="clear" w:pos="360"/>
                <w:tab w:val="num" w:pos="600"/>
              </w:tabs>
              <w:spacing w:after="0" w:line="240" w:lineRule="auto"/>
              <w:ind w:left="600" w:hanging="600"/>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b/>
                <w:snapToGrid w:val="0"/>
                <w:sz w:val="20"/>
              </w:rPr>
              <w:t>La Pertinencia</w:t>
            </w:r>
            <w:r w:rsidRPr="00253AF8">
              <w:rPr>
                <w:rFonts w:ascii="Calibri" w:eastAsia="Times New Roman" w:hAnsi="Calibri" w:cs="Arial"/>
                <w:snapToGrid w:val="0"/>
                <w:sz w:val="20"/>
              </w:rPr>
              <w:t xml:space="preserve"> se da cuando la información permite describir la situación o fenómeno determinado que es objeto de la acción.</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napToGrid w:val="0"/>
                <w:sz w:val="20"/>
                <w:lang w:val="es-MX"/>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napToGrid w:val="0"/>
                <w:sz w:val="20"/>
                <w:lang w:val="es-MX"/>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b/>
                <w:snapToGrid w:val="0"/>
                <w:sz w:val="20"/>
              </w:rPr>
              <w:t>La Funcionalidad</w:t>
            </w:r>
            <w:r w:rsidRPr="00253AF8">
              <w:rPr>
                <w:rFonts w:ascii="Calibri" w:eastAsia="Times New Roman" w:hAnsi="Calibri" w:cs="Arial"/>
                <w:snapToGrid w:val="0"/>
                <w:sz w:val="20"/>
              </w:rPr>
              <w:t xml:space="preserve"> se da cuando la información sea medible, operable y sensible a los cambios registrados como iniciales.</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Disponibilidad se da cuando la información es construida a partir de datos que puedan ser consultados fácilmente cuando sea necesario.</w:t>
            </w:r>
          </w:p>
        </w:tc>
      </w:tr>
      <w:tr w:rsidR="0029512E" w:rsidRPr="00253AF8" w:rsidTr="002C2B1F">
        <w:tc>
          <w:tcPr>
            <w:tcW w:w="939" w:type="dxa"/>
            <w:shd w:val="clear" w:color="auto" w:fill="auto"/>
          </w:tcPr>
          <w:p w:rsidR="0029512E" w:rsidRPr="00253AF8" w:rsidRDefault="0029512E" w:rsidP="0029512E">
            <w:pPr>
              <w:pStyle w:val="Prrafodelista2"/>
              <w:numPr>
                <w:ilvl w:val="0"/>
                <w:numId w:val="1"/>
              </w:numPr>
              <w:jc w:val="both"/>
              <w:rPr>
                <w:rFonts w:ascii="Arial" w:eastAsia="Times New Roman" w:hAnsi="Arial" w:cs="Arial"/>
                <w:snapToGrid w:val="0"/>
                <w:sz w:val="20"/>
              </w:rPr>
            </w:pPr>
          </w:p>
        </w:tc>
        <w:tc>
          <w:tcPr>
            <w:tcW w:w="861" w:type="dxa"/>
            <w:shd w:val="clear" w:color="auto" w:fill="auto"/>
          </w:tcPr>
          <w:p w:rsidR="0029512E" w:rsidRPr="00253AF8" w:rsidRDefault="0029512E" w:rsidP="0029512E">
            <w:pPr>
              <w:pStyle w:val="Prrafodelista2"/>
              <w:numPr>
                <w:ilvl w:val="0"/>
                <w:numId w:val="1"/>
              </w:numPr>
              <w:jc w:val="both"/>
              <w:rPr>
                <w:rFonts w:ascii="Arial" w:eastAsia="Times New Roman" w:hAnsi="Arial" w:cs="Arial"/>
                <w:snapToGrid w:val="0"/>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Confiabilidad se da cuando la información cumple los estándares de calidad  aquí propuestos.</w:t>
            </w:r>
          </w:p>
        </w:tc>
      </w:tr>
      <w:tr w:rsidR="0029512E" w:rsidRPr="00253AF8" w:rsidTr="002C2B1F">
        <w:tc>
          <w:tcPr>
            <w:tcW w:w="939" w:type="dxa"/>
            <w:shd w:val="clear" w:color="auto" w:fill="auto"/>
          </w:tcPr>
          <w:p w:rsidR="0029512E" w:rsidRPr="00253AF8" w:rsidRDefault="0029512E" w:rsidP="0029512E">
            <w:pPr>
              <w:pStyle w:val="Prrafodelista2"/>
              <w:numPr>
                <w:ilvl w:val="0"/>
                <w:numId w:val="1"/>
              </w:numPr>
              <w:jc w:val="both"/>
              <w:rPr>
                <w:rFonts w:ascii="Arial" w:eastAsia="Times New Roman" w:hAnsi="Arial" w:cs="Arial"/>
                <w:sz w:val="20"/>
              </w:rPr>
            </w:pPr>
          </w:p>
        </w:tc>
        <w:tc>
          <w:tcPr>
            <w:tcW w:w="861" w:type="dxa"/>
            <w:shd w:val="clear" w:color="auto" w:fill="auto"/>
          </w:tcPr>
          <w:p w:rsidR="0029512E" w:rsidRPr="00253AF8" w:rsidRDefault="0029512E" w:rsidP="0029512E">
            <w:pPr>
              <w:pStyle w:val="Prrafodelista2"/>
              <w:numPr>
                <w:ilvl w:val="0"/>
                <w:numId w:val="1"/>
              </w:numPr>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Utilidad está dada por la posibilidad de toma de decisiones a partir de la información presentada.</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Relevancia depende del grado de utilidad para satisfacer las necesidades informativas de los ciudadanos.</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Credibilidad está dada a partir de las prácticas y políticas de recolección, procesamiento, almacenaje y difusión de información que deben cumplir con estándares internacionales y transparentes.</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Accesibilidad tiene que ver con la rapidez y acceso desde y dentro de la organización de la información.</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Oportunidad está dada por el tiempo transcurrido entre su disponibilidad y accesibilidad hasta la pérdida de vigencia y valor de la información.</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Coherencia está dada por que la información producida no sea contradictoria entre sí.</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snapToGrid w:val="0"/>
                <w:sz w:val="20"/>
              </w:rPr>
              <w:t>La Aplicabilidad está dada a partir de que la información responda a una necesidad real que justifique su generación y su utilización.</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b/>
                <w:snapToGrid w:val="0"/>
                <w:sz w:val="20"/>
              </w:rPr>
              <w:t>La No redundancia</w:t>
            </w:r>
            <w:r w:rsidRPr="00253AF8">
              <w:rPr>
                <w:rFonts w:ascii="Calibri" w:eastAsia="Times New Roman" w:hAnsi="Calibri" w:cs="Arial"/>
                <w:snapToGrid w:val="0"/>
                <w:sz w:val="20"/>
              </w:rPr>
              <w:t xml:space="preserve"> está dada por la no duplicidad de información.</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b/>
                <w:snapToGrid w:val="0"/>
                <w:sz w:val="20"/>
              </w:rPr>
              <w:t>La Interoperabilidad</w:t>
            </w:r>
            <w:r w:rsidRPr="00253AF8">
              <w:rPr>
                <w:rFonts w:ascii="Calibri" w:eastAsia="Times New Roman" w:hAnsi="Calibri" w:cs="Arial"/>
                <w:snapToGrid w:val="0"/>
                <w:sz w:val="20"/>
              </w:rPr>
              <w:t xml:space="preserve"> está dada a partir del entendimiento fácil de todos los ciudadanos de la información.</w:t>
            </w:r>
          </w:p>
        </w:tc>
      </w:tr>
      <w:tr w:rsidR="0029512E" w:rsidRPr="00253AF8" w:rsidTr="002C2B1F">
        <w:tc>
          <w:tcPr>
            <w:tcW w:w="939"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861" w:type="dxa"/>
            <w:shd w:val="clear" w:color="auto" w:fill="auto"/>
          </w:tcPr>
          <w:p w:rsidR="0029512E" w:rsidRPr="00253AF8" w:rsidRDefault="0029512E" w:rsidP="0029512E">
            <w:pPr>
              <w:numPr>
                <w:ilvl w:val="0"/>
                <w:numId w:val="1"/>
              </w:numPr>
              <w:spacing w:after="0" w:line="240" w:lineRule="auto"/>
              <w:jc w:val="both"/>
              <w:rPr>
                <w:rFonts w:ascii="Arial" w:eastAsia="Times New Roman" w:hAnsi="Arial" w:cs="Arial"/>
                <w:sz w:val="20"/>
              </w:rPr>
            </w:pPr>
          </w:p>
        </w:tc>
        <w:tc>
          <w:tcPr>
            <w:tcW w:w="6168" w:type="dxa"/>
            <w:shd w:val="clear" w:color="auto" w:fill="auto"/>
          </w:tcPr>
          <w:p w:rsidR="0029512E" w:rsidRPr="00253AF8" w:rsidRDefault="0029512E" w:rsidP="002C2B1F">
            <w:pPr>
              <w:ind w:right="26"/>
              <w:jc w:val="both"/>
              <w:rPr>
                <w:rFonts w:ascii="Calibri" w:eastAsia="Times New Roman" w:hAnsi="Calibri" w:cs="Arial"/>
                <w:snapToGrid w:val="0"/>
                <w:sz w:val="20"/>
              </w:rPr>
            </w:pPr>
            <w:r w:rsidRPr="00253AF8">
              <w:rPr>
                <w:rFonts w:ascii="Calibri" w:eastAsia="Times New Roman" w:hAnsi="Calibri" w:cs="Arial"/>
                <w:b/>
                <w:snapToGrid w:val="0"/>
                <w:sz w:val="20"/>
              </w:rPr>
              <w:t>La Comparabilidad</w:t>
            </w:r>
            <w:r w:rsidRPr="00253AF8">
              <w:rPr>
                <w:rFonts w:ascii="Calibri" w:eastAsia="Times New Roman" w:hAnsi="Calibri" w:cs="Arial"/>
                <w:snapToGrid w:val="0"/>
                <w:sz w:val="20"/>
              </w:rPr>
              <w:t xml:space="preserve"> está dada a partir de la información comparable en el tiempo y con otras entidades.</w:t>
            </w:r>
          </w:p>
        </w:tc>
      </w:tr>
    </w:tbl>
    <w:p w:rsidR="00A601A5" w:rsidRDefault="00A601A5"/>
    <w:sectPr w:rsidR="00A601A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508" w:rsidRDefault="00951508" w:rsidP="00951508">
      <w:pPr>
        <w:spacing w:after="0" w:line="240" w:lineRule="auto"/>
      </w:pPr>
      <w:r>
        <w:separator/>
      </w:r>
    </w:p>
  </w:endnote>
  <w:endnote w:type="continuationSeparator" w:id="0">
    <w:p w:rsidR="00951508" w:rsidRDefault="00951508" w:rsidP="0095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508" w:rsidRDefault="00951508" w:rsidP="00951508">
      <w:pPr>
        <w:spacing w:after="0" w:line="240" w:lineRule="auto"/>
      </w:pPr>
      <w:r>
        <w:separator/>
      </w:r>
    </w:p>
  </w:footnote>
  <w:footnote w:type="continuationSeparator" w:id="0">
    <w:p w:rsidR="00951508" w:rsidRDefault="00951508" w:rsidP="00951508">
      <w:pPr>
        <w:spacing w:after="0" w:line="240" w:lineRule="auto"/>
      </w:pPr>
      <w:r>
        <w:continuationSeparator/>
      </w:r>
    </w:p>
  </w:footnote>
  <w:footnote w:id="1">
    <w:p w:rsidR="0029512E" w:rsidRPr="00C21147" w:rsidRDefault="0029512E" w:rsidP="0029512E">
      <w:pPr>
        <w:pStyle w:val="Textonotapie"/>
        <w:jc w:val="both"/>
        <w:rPr>
          <w:rFonts w:ascii="Arial" w:hAnsi="Arial" w:cs="Arial"/>
          <w:sz w:val="18"/>
          <w:szCs w:val="18"/>
        </w:rPr>
      </w:pPr>
      <w:r w:rsidRPr="00C21147">
        <w:rPr>
          <w:rStyle w:val="Refdenotaalpie"/>
          <w:rFonts w:ascii="Arial" w:hAnsi="Arial" w:cs="Arial"/>
          <w:sz w:val="18"/>
          <w:szCs w:val="18"/>
        </w:rPr>
        <w:footnoteRef/>
      </w:r>
      <w:r w:rsidRPr="00C21147">
        <w:rPr>
          <w:rFonts w:ascii="Arial" w:hAnsi="Arial" w:cs="Arial"/>
          <w:sz w:val="18"/>
          <w:szCs w:val="18"/>
        </w:rPr>
        <w:t xml:space="preserve"> Estos criterios de calidad han sido adaptados de los criterios de calidad estadística presentados en la Guía para Diseño, Construcción e interpretación de Indicadores del DANE. </w:t>
      </w:r>
      <w:r w:rsidRPr="00C21147">
        <w:rPr>
          <w:rFonts w:ascii="Arial" w:hAnsi="Arial" w:cs="Arial"/>
          <w:noProof/>
          <w:sz w:val="18"/>
          <w:szCs w:val="18"/>
        </w:rPr>
        <w:t xml:space="preserve"> (DANE, 2009) Así mismo, están basados en lo propuesto por la OECD en el documento OECD, Quality framework and guidelines for OECD statistical activities. 2003.  (OECD,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30C"/>
    <w:multiLevelType w:val="hybridMultilevel"/>
    <w:tmpl w:val="D060895E"/>
    <w:lvl w:ilvl="0" w:tplc="C8142718">
      <w:start w:val="1"/>
      <w:numFmt w:val="bullet"/>
      <w:lvlText w:val=""/>
      <w:lvlJc w:val="left"/>
      <w:pPr>
        <w:tabs>
          <w:tab w:val="num" w:pos="360"/>
        </w:tabs>
        <w:ind w:left="360" w:hanging="360"/>
      </w:pPr>
      <w:rPr>
        <w:rFonts w:ascii="Wingdings" w:hAnsi="Wingdings" w:hint="default"/>
        <w:b/>
        <w:i w:val="0"/>
        <w:sz w:val="40"/>
        <w:szCs w:val="40"/>
      </w:rPr>
    </w:lvl>
    <w:lvl w:ilvl="1" w:tplc="0C0A000F">
      <w:start w:val="1"/>
      <w:numFmt w:val="decimal"/>
      <w:lvlText w:val="%2."/>
      <w:lvlJc w:val="left"/>
      <w:pPr>
        <w:tabs>
          <w:tab w:val="num" w:pos="1440"/>
        </w:tabs>
        <w:ind w:left="1440" w:hanging="360"/>
      </w:pPr>
      <w:rPr>
        <w:rFonts w:hint="default"/>
        <w:b/>
        <w:i w:val="0"/>
        <w:sz w:val="40"/>
        <w:szCs w:val="4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08"/>
    <w:rsid w:val="0029512E"/>
    <w:rsid w:val="00951508"/>
    <w:rsid w:val="00A601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2E"/>
  </w:style>
  <w:style w:type="paragraph" w:styleId="Ttulo3">
    <w:name w:val="heading 3"/>
    <w:basedOn w:val="Normal"/>
    <w:next w:val="Normal"/>
    <w:link w:val="Ttulo3Car"/>
    <w:rsid w:val="00951508"/>
    <w:pPr>
      <w:keepNext/>
      <w:keepLines/>
      <w:pBdr>
        <w:top w:val="nil"/>
        <w:left w:val="nil"/>
        <w:bottom w:val="nil"/>
        <w:right w:val="nil"/>
        <w:between w:val="nil"/>
      </w:pBdr>
      <w:spacing w:before="40" w:after="0" w:line="240" w:lineRule="auto"/>
      <w:outlineLvl w:val="2"/>
    </w:pPr>
    <w:rPr>
      <w:rFonts w:ascii="Calibri" w:eastAsia="Calibri" w:hAnsi="Calibri" w:cs="Calibri"/>
      <w:color w:val="2F5496"/>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51508"/>
    <w:rPr>
      <w:rFonts w:ascii="Calibri" w:eastAsia="Calibri" w:hAnsi="Calibri" w:cs="Calibri"/>
      <w:color w:val="2F5496"/>
      <w:sz w:val="28"/>
      <w:szCs w:val="28"/>
      <w:lang w:eastAsia="es-CO"/>
    </w:rPr>
  </w:style>
  <w:style w:type="character" w:styleId="Refdenotaalpie">
    <w:name w:val="footnote reference"/>
    <w:aliases w:val="Footnotes refss,Texto de nota al pie,referencia nota al pie,BVI fnr,Appel note de bas de page,Footnote number,Footnote symbol,Footnote,Ref. de nota al pie2,Nota de pie,Ref,de nota al pie,Pie de pagina,Ref. ...,Ref1,FC,Car Car Car1"/>
    <w:basedOn w:val="Fuentedeprrafopredeter"/>
    <w:uiPriority w:val="99"/>
    <w:unhideWhenUsed/>
    <w:rsid w:val="00951508"/>
    <w:rPr>
      <w:vertAlign w:val="superscript"/>
    </w:rPr>
  </w:style>
  <w:style w:type="character" w:customStyle="1" w:styleId="TextonotapieCar">
    <w:name w:val="Texto nota pie Car"/>
    <w:aliases w:val="texto de nota al pie Car,Geneva 9 Car,Font: Geneva 9 Car,Boston 10 Car,f Car,FA Fu Car,Footnote Text Char Char Char Char Char Car,Footnote Text Char Char Char Char Car,Footnote reference Car,Footnote Text Char Char Char Car,FA F Car"/>
    <w:basedOn w:val="Fuentedeprrafopredeter"/>
    <w:link w:val="Textonotapie"/>
    <w:uiPriority w:val="99"/>
    <w:rsid w:val="00951508"/>
    <w:rPr>
      <w:sz w:val="20"/>
      <w:szCs w:val="20"/>
    </w:rPr>
  </w:style>
  <w:style w:type="paragraph" w:styleId="Textonotapie">
    <w:name w:val="footnote text"/>
    <w:aliases w:val="texto de nota al pie,Geneva 9,Font: Geneva 9,Boston 10,f,FA Fu,Footnote Text Char Char Char Char Char,Footnote Text Char Char Char Char,Footnote reference,Footnote Text Char Char Char,Texto nota pie Car Car Car,Texto nota pie Car Car,FA F"/>
    <w:basedOn w:val="Normal"/>
    <w:link w:val="TextonotapieCar"/>
    <w:uiPriority w:val="99"/>
    <w:unhideWhenUsed/>
    <w:qFormat/>
    <w:rsid w:val="00951508"/>
    <w:pPr>
      <w:pBdr>
        <w:top w:val="nil"/>
        <w:left w:val="nil"/>
        <w:bottom w:val="nil"/>
        <w:right w:val="nil"/>
        <w:between w:val="nil"/>
      </w:pBdr>
      <w:spacing w:after="0" w:line="240" w:lineRule="auto"/>
    </w:pPr>
    <w:rPr>
      <w:sz w:val="20"/>
      <w:szCs w:val="20"/>
    </w:rPr>
  </w:style>
  <w:style w:type="character" w:customStyle="1" w:styleId="TextonotapieCar1">
    <w:name w:val="Texto nota pie Car1"/>
    <w:basedOn w:val="Fuentedeprrafopredeter"/>
    <w:uiPriority w:val="99"/>
    <w:semiHidden/>
    <w:rsid w:val="00951508"/>
    <w:rPr>
      <w:sz w:val="20"/>
      <w:szCs w:val="20"/>
    </w:rPr>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
    <w:basedOn w:val="Normal"/>
    <w:link w:val="EncabezadoCar"/>
    <w:uiPriority w:val="99"/>
    <w:rsid w:val="00951508"/>
    <w:pPr>
      <w:tabs>
        <w:tab w:val="center" w:pos="4252"/>
        <w:tab w:val="right" w:pos="8504"/>
      </w:tabs>
      <w:spacing w:after="0" w:line="240" w:lineRule="auto"/>
    </w:pPr>
    <w:rPr>
      <w:rFonts w:ascii="Times New Roman" w:eastAsia="Calibri" w:hAnsi="Times New Roman" w:cs="Times New Roman"/>
      <w:sz w:val="28"/>
      <w:szCs w:val="20"/>
    </w:rPr>
  </w:style>
  <w:style w:type="character" w:customStyle="1" w:styleId="EncabezadoCar">
    <w:name w:val="Encabezado Car"/>
    <w:aliases w:val="header odd Car,header odd1 Car,header odd2 Car,header odd3 Car,header odd4 Car,header odd5 Car,header odd6 Car,header1 Car,header2 Car,header3 Car,header odd11 Car,header odd21 Car,header odd7 Car,header4 Car,header odd8 Car,header5 Car"/>
    <w:basedOn w:val="Fuentedeprrafopredeter"/>
    <w:link w:val="Encabezado"/>
    <w:uiPriority w:val="99"/>
    <w:rsid w:val="00951508"/>
    <w:rPr>
      <w:rFonts w:ascii="Times New Roman" w:eastAsia="Calibri" w:hAnsi="Times New Roman" w:cs="Times New Roman"/>
      <w:sz w:val="28"/>
      <w:szCs w:val="20"/>
    </w:rPr>
  </w:style>
  <w:style w:type="paragraph" w:customStyle="1" w:styleId="Prrafodelista2">
    <w:name w:val="Párrafo de lista2"/>
    <w:basedOn w:val="Normal"/>
    <w:rsid w:val="0029512E"/>
    <w:pPr>
      <w:spacing w:after="0" w:line="240" w:lineRule="auto"/>
      <w:ind w:left="720"/>
    </w:pPr>
    <w:rPr>
      <w:rFonts w:ascii="Times New Roman" w:eastAsia="Calibri"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2E"/>
  </w:style>
  <w:style w:type="paragraph" w:styleId="Ttulo3">
    <w:name w:val="heading 3"/>
    <w:basedOn w:val="Normal"/>
    <w:next w:val="Normal"/>
    <w:link w:val="Ttulo3Car"/>
    <w:rsid w:val="00951508"/>
    <w:pPr>
      <w:keepNext/>
      <w:keepLines/>
      <w:pBdr>
        <w:top w:val="nil"/>
        <w:left w:val="nil"/>
        <w:bottom w:val="nil"/>
        <w:right w:val="nil"/>
        <w:between w:val="nil"/>
      </w:pBdr>
      <w:spacing w:before="40" w:after="0" w:line="240" w:lineRule="auto"/>
      <w:outlineLvl w:val="2"/>
    </w:pPr>
    <w:rPr>
      <w:rFonts w:ascii="Calibri" w:eastAsia="Calibri" w:hAnsi="Calibri" w:cs="Calibri"/>
      <w:color w:val="2F5496"/>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51508"/>
    <w:rPr>
      <w:rFonts w:ascii="Calibri" w:eastAsia="Calibri" w:hAnsi="Calibri" w:cs="Calibri"/>
      <w:color w:val="2F5496"/>
      <w:sz w:val="28"/>
      <w:szCs w:val="28"/>
      <w:lang w:eastAsia="es-CO"/>
    </w:rPr>
  </w:style>
  <w:style w:type="character" w:styleId="Refdenotaalpie">
    <w:name w:val="footnote reference"/>
    <w:aliases w:val="Footnotes refss,Texto de nota al pie,referencia nota al pie,BVI fnr,Appel note de bas de page,Footnote number,Footnote symbol,Footnote,Ref. de nota al pie2,Nota de pie,Ref,de nota al pie,Pie de pagina,Ref. ...,Ref1,FC,Car Car Car1"/>
    <w:basedOn w:val="Fuentedeprrafopredeter"/>
    <w:uiPriority w:val="99"/>
    <w:unhideWhenUsed/>
    <w:rsid w:val="00951508"/>
    <w:rPr>
      <w:vertAlign w:val="superscript"/>
    </w:rPr>
  </w:style>
  <w:style w:type="character" w:customStyle="1" w:styleId="TextonotapieCar">
    <w:name w:val="Texto nota pie Car"/>
    <w:aliases w:val="texto de nota al pie Car,Geneva 9 Car,Font: Geneva 9 Car,Boston 10 Car,f Car,FA Fu Car,Footnote Text Char Char Char Char Char Car,Footnote Text Char Char Char Char Car,Footnote reference Car,Footnote Text Char Char Char Car,FA F Car"/>
    <w:basedOn w:val="Fuentedeprrafopredeter"/>
    <w:link w:val="Textonotapie"/>
    <w:uiPriority w:val="99"/>
    <w:rsid w:val="00951508"/>
    <w:rPr>
      <w:sz w:val="20"/>
      <w:szCs w:val="20"/>
    </w:rPr>
  </w:style>
  <w:style w:type="paragraph" w:styleId="Textonotapie">
    <w:name w:val="footnote text"/>
    <w:aliases w:val="texto de nota al pie,Geneva 9,Font: Geneva 9,Boston 10,f,FA Fu,Footnote Text Char Char Char Char Char,Footnote Text Char Char Char Char,Footnote reference,Footnote Text Char Char Char,Texto nota pie Car Car Car,Texto nota pie Car Car,FA F"/>
    <w:basedOn w:val="Normal"/>
    <w:link w:val="TextonotapieCar"/>
    <w:uiPriority w:val="99"/>
    <w:unhideWhenUsed/>
    <w:qFormat/>
    <w:rsid w:val="00951508"/>
    <w:pPr>
      <w:pBdr>
        <w:top w:val="nil"/>
        <w:left w:val="nil"/>
        <w:bottom w:val="nil"/>
        <w:right w:val="nil"/>
        <w:between w:val="nil"/>
      </w:pBdr>
      <w:spacing w:after="0" w:line="240" w:lineRule="auto"/>
    </w:pPr>
    <w:rPr>
      <w:sz w:val="20"/>
      <w:szCs w:val="20"/>
    </w:rPr>
  </w:style>
  <w:style w:type="character" w:customStyle="1" w:styleId="TextonotapieCar1">
    <w:name w:val="Texto nota pie Car1"/>
    <w:basedOn w:val="Fuentedeprrafopredeter"/>
    <w:uiPriority w:val="99"/>
    <w:semiHidden/>
    <w:rsid w:val="00951508"/>
    <w:rPr>
      <w:sz w:val="20"/>
      <w:szCs w:val="20"/>
    </w:rPr>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
    <w:basedOn w:val="Normal"/>
    <w:link w:val="EncabezadoCar"/>
    <w:uiPriority w:val="99"/>
    <w:rsid w:val="00951508"/>
    <w:pPr>
      <w:tabs>
        <w:tab w:val="center" w:pos="4252"/>
        <w:tab w:val="right" w:pos="8504"/>
      </w:tabs>
      <w:spacing w:after="0" w:line="240" w:lineRule="auto"/>
    </w:pPr>
    <w:rPr>
      <w:rFonts w:ascii="Times New Roman" w:eastAsia="Calibri" w:hAnsi="Times New Roman" w:cs="Times New Roman"/>
      <w:sz w:val="28"/>
      <w:szCs w:val="20"/>
    </w:rPr>
  </w:style>
  <w:style w:type="character" w:customStyle="1" w:styleId="EncabezadoCar">
    <w:name w:val="Encabezado Car"/>
    <w:aliases w:val="header odd Car,header odd1 Car,header odd2 Car,header odd3 Car,header odd4 Car,header odd5 Car,header odd6 Car,header1 Car,header2 Car,header3 Car,header odd11 Car,header odd21 Car,header odd7 Car,header4 Car,header odd8 Car,header5 Car"/>
    <w:basedOn w:val="Fuentedeprrafopredeter"/>
    <w:link w:val="Encabezado"/>
    <w:uiPriority w:val="99"/>
    <w:rsid w:val="00951508"/>
    <w:rPr>
      <w:rFonts w:ascii="Times New Roman" w:eastAsia="Calibri" w:hAnsi="Times New Roman" w:cs="Times New Roman"/>
      <w:sz w:val="28"/>
      <w:szCs w:val="20"/>
    </w:rPr>
  </w:style>
  <w:style w:type="paragraph" w:customStyle="1" w:styleId="Prrafodelista2">
    <w:name w:val="Párrafo de lista2"/>
    <w:basedOn w:val="Normal"/>
    <w:rsid w:val="0029512E"/>
    <w:pPr>
      <w:spacing w:after="0" w:line="240" w:lineRule="auto"/>
      <w:ind w:left="720"/>
    </w:pPr>
    <w:rPr>
      <w:rFonts w:ascii="Times New Roman" w:eastAsia="Calibri"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Correa Mora</dc:creator>
  <cp:lastModifiedBy>Karen Correa Mora</cp:lastModifiedBy>
  <cp:revision>2</cp:revision>
  <dcterms:created xsi:type="dcterms:W3CDTF">2018-06-13T21:36:00Z</dcterms:created>
  <dcterms:modified xsi:type="dcterms:W3CDTF">2018-06-13T21:36:00Z</dcterms:modified>
</cp:coreProperties>
</file>