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3C" w:rsidRPr="00055A09" w:rsidRDefault="007B333C" w:rsidP="007B333C">
      <w:pPr>
        <w:pStyle w:val="Ttulo1"/>
        <w:keepLines/>
        <w:numPr>
          <w:ilvl w:val="0"/>
          <w:numId w:val="3"/>
        </w:numPr>
        <w:spacing w:before="240" w:after="240" w:line="259" w:lineRule="auto"/>
        <w:rPr>
          <w:rFonts w:ascii="Arial Narrow" w:hAnsi="Arial Narrow" w:cs="Arial"/>
          <w:szCs w:val="24"/>
        </w:rPr>
      </w:pPr>
      <w:bookmarkStart w:id="0" w:name="_Toc4683207"/>
      <w:r>
        <w:rPr>
          <w:rFonts w:ascii="Arial Narrow" w:hAnsi="Arial Narrow" w:cs="Arial"/>
          <w:szCs w:val="24"/>
          <w:lang w:val="es-CO"/>
        </w:rPr>
        <w:t xml:space="preserve">¿Cómo </w:t>
      </w:r>
      <w:r>
        <w:rPr>
          <w:rFonts w:ascii="Arial Narrow" w:hAnsi="Arial Narrow" w:cs="Arial"/>
          <w:szCs w:val="24"/>
        </w:rPr>
        <w:t>solicitar la autorización</w:t>
      </w:r>
      <w:r w:rsidRPr="00055A09">
        <w:rPr>
          <w:rFonts w:ascii="Arial Narrow" w:hAnsi="Arial Narrow" w:cs="Arial"/>
          <w:szCs w:val="24"/>
        </w:rPr>
        <w:t xml:space="preserve"> de un trámite</w:t>
      </w:r>
      <w:r>
        <w:rPr>
          <w:rFonts w:ascii="Arial Narrow" w:hAnsi="Arial Narrow" w:cs="Arial"/>
          <w:szCs w:val="24"/>
        </w:rPr>
        <w:t>?</w:t>
      </w:r>
      <w:bookmarkEnd w:id="0"/>
    </w:p>
    <w:p w:rsidR="007B333C" w:rsidRPr="00055A09" w:rsidRDefault="007B333C" w:rsidP="007B333C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La solicitud de concepto favorable para la adopción o implementación de un trámite o de revisión de</w:t>
      </w:r>
      <w:r w:rsidRPr="00055A09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la </w:t>
      </w:r>
      <w:r w:rsidRPr="00055A09">
        <w:rPr>
          <w:rFonts w:ascii="Arial Narrow" w:hAnsi="Arial Narrow" w:cs="Arial"/>
          <w:szCs w:val="24"/>
        </w:rPr>
        <w:t>modificación estructural de un trámite</w:t>
      </w:r>
      <w:r>
        <w:rPr>
          <w:rFonts w:ascii="Arial Narrow" w:hAnsi="Arial Narrow" w:cs="Arial"/>
          <w:szCs w:val="24"/>
        </w:rPr>
        <w:t xml:space="preserve"> existente</w:t>
      </w:r>
      <w:r w:rsidR="001334AD">
        <w:rPr>
          <w:rFonts w:ascii="Arial Narrow" w:hAnsi="Arial Narrow" w:cs="Arial"/>
          <w:szCs w:val="24"/>
        </w:rPr>
        <w:t>, según lo</w:t>
      </w:r>
      <w:r>
        <w:rPr>
          <w:rFonts w:ascii="Arial Narrow" w:hAnsi="Arial Narrow" w:cs="Arial"/>
          <w:szCs w:val="24"/>
        </w:rPr>
        <w:t xml:space="preserve"> establece </w:t>
      </w:r>
      <w:r w:rsidRPr="00055A09">
        <w:rPr>
          <w:rFonts w:ascii="Arial Narrow" w:hAnsi="Arial Narrow" w:cs="Arial"/>
          <w:szCs w:val="24"/>
        </w:rPr>
        <w:t>la Resolución 1099 de 2017</w:t>
      </w:r>
      <w:r w:rsidR="001334AD">
        <w:rPr>
          <w:rFonts w:ascii="Arial Narrow" w:hAnsi="Arial Narrow" w:cs="Arial"/>
          <w:szCs w:val="24"/>
        </w:rPr>
        <w:t>,</w:t>
      </w:r>
      <w:r>
        <w:rPr>
          <w:rFonts w:ascii="Arial Narrow" w:hAnsi="Arial Narrow" w:cs="Arial"/>
          <w:szCs w:val="24"/>
        </w:rPr>
        <w:t xml:space="preserve"> debe atender </w:t>
      </w:r>
      <w:r w:rsidR="002A1FEE">
        <w:rPr>
          <w:rFonts w:ascii="Arial Narrow" w:hAnsi="Arial Narrow" w:cs="Arial"/>
          <w:szCs w:val="24"/>
        </w:rPr>
        <w:t>los</w:t>
      </w:r>
      <w:r w:rsidRPr="00055A09">
        <w:rPr>
          <w:rFonts w:ascii="Arial Narrow" w:hAnsi="Arial Narrow" w:cs="Arial"/>
          <w:szCs w:val="24"/>
        </w:rPr>
        <w:t xml:space="preserve"> siguiente</w:t>
      </w:r>
      <w:r w:rsidR="002A1FEE">
        <w:rPr>
          <w:rFonts w:ascii="Arial Narrow" w:hAnsi="Arial Narrow" w:cs="Arial"/>
          <w:szCs w:val="24"/>
        </w:rPr>
        <w:t>s</w:t>
      </w:r>
      <w:r>
        <w:rPr>
          <w:rFonts w:ascii="Arial Narrow" w:hAnsi="Arial Narrow" w:cs="Arial"/>
          <w:szCs w:val="24"/>
        </w:rPr>
        <w:t xml:space="preserve"> procedimiento</w:t>
      </w:r>
      <w:r w:rsidR="002A1FEE">
        <w:rPr>
          <w:rFonts w:ascii="Arial Narrow" w:hAnsi="Arial Narrow" w:cs="Arial"/>
          <w:szCs w:val="24"/>
        </w:rPr>
        <w:t>s</w:t>
      </w:r>
      <w:r w:rsidRPr="00055A09">
        <w:rPr>
          <w:rFonts w:ascii="Arial Narrow" w:hAnsi="Arial Narrow" w:cs="Arial"/>
          <w:szCs w:val="24"/>
        </w:rPr>
        <w:t xml:space="preserve">: </w:t>
      </w:r>
    </w:p>
    <w:p w:rsidR="007B333C" w:rsidRPr="00055A09" w:rsidRDefault="007B333C" w:rsidP="007B333C">
      <w:pPr>
        <w:jc w:val="both"/>
        <w:rPr>
          <w:rFonts w:ascii="Arial Narrow" w:hAnsi="Arial Narrow" w:cs="Arial"/>
          <w:szCs w:val="24"/>
        </w:rPr>
      </w:pPr>
    </w:p>
    <w:p w:rsidR="007B333C" w:rsidRPr="008D0582" w:rsidRDefault="007B333C" w:rsidP="007B333C">
      <w:pPr>
        <w:ind w:left="360"/>
        <w:jc w:val="center"/>
        <w:rPr>
          <w:rFonts w:ascii="Arial Narrow" w:eastAsiaTheme="minorEastAsia" w:hAnsi="Arial Narrow" w:cs="Arial"/>
          <w:b/>
          <w:szCs w:val="24"/>
          <w:lang w:val="es-ES"/>
        </w:rPr>
      </w:pPr>
      <w:r w:rsidRPr="008D0582">
        <w:rPr>
          <w:rFonts w:ascii="Arial Narrow" w:eastAsiaTheme="minorEastAsia" w:hAnsi="Arial Narrow" w:cs="Arial"/>
          <w:b/>
          <w:szCs w:val="24"/>
          <w:lang w:val="es-ES"/>
        </w:rPr>
        <w:t>Procedimiento para solicitar la autorización de un trámite</w:t>
      </w:r>
      <w:r>
        <w:rPr>
          <w:rFonts w:ascii="Arial Narrow" w:eastAsiaTheme="minorEastAsia" w:hAnsi="Arial Narrow" w:cs="Arial"/>
          <w:b/>
          <w:szCs w:val="24"/>
          <w:lang w:val="es-ES"/>
        </w:rPr>
        <w:t xml:space="preserve"> según resolución 1099 de 2017</w:t>
      </w:r>
    </w:p>
    <w:p w:rsidR="007B333C" w:rsidRPr="00055A09" w:rsidRDefault="007B333C" w:rsidP="007B333C">
      <w:pPr>
        <w:ind w:left="360"/>
        <w:jc w:val="both"/>
        <w:rPr>
          <w:rFonts w:ascii="Arial Narrow" w:eastAsiaTheme="minorEastAsia" w:hAnsi="Arial Narrow" w:cs="Arial"/>
          <w:szCs w:val="24"/>
          <w:lang w:val="es-ES"/>
        </w:rPr>
      </w:pPr>
    </w:p>
    <w:tbl>
      <w:tblPr>
        <w:tblStyle w:val="Tablaconcuadrcul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7B333C" w:rsidRPr="008777F2" w:rsidTr="00032418">
        <w:tc>
          <w:tcPr>
            <w:tcW w:w="8930" w:type="dxa"/>
          </w:tcPr>
          <w:p w:rsidR="007B333C" w:rsidRPr="008777F2" w:rsidRDefault="007B333C" w:rsidP="00032418">
            <w:pPr>
              <w:jc w:val="both"/>
              <w:rPr>
                <w:rFonts w:ascii="Arial Narrow" w:eastAsiaTheme="minorEastAsia" w:hAnsi="Arial Narrow" w:cs="Arial"/>
                <w:szCs w:val="24"/>
                <w:lang w:val="es-ES"/>
              </w:rPr>
            </w:pPr>
            <w:r w:rsidRPr="008777F2">
              <w:rPr>
                <w:rFonts w:ascii="Arial Narrow" w:eastAsiaTheme="minorEastAsia" w:hAnsi="Arial Narrow" w:cs="Arial"/>
                <w:szCs w:val="24"/>
                <w:lang w:val="es-ES"/>
              </w:rPr>
              <w:t>1. La entidad responsable del trámite debe ingresar al sistema único de información de trámites (SUIT)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para: </w:t>
            </w:r>
            <w:r w:rsidRPr="008777F2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registrar la información básica del trámite (nombre, propósito, resultado final y tiempo de obtención, fundamento legal y los momentos o pasos que debe realizar el ciudadano),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y </w:t>
            </w:r>
            <w:r w:rsidRPr="008777F2">
              <w:rPr>
                <w:rFonts w:ascii="Arial Narrow" w:eastAsiaTheme="minorEastAsia" w:hAnsi="Arial Narrow" w:cs="Arial"/>
                <w:szCs w:val="24"/>
                <w:lang w:val="es-ES"/>
              </w:rPr>
              <w:t>a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djuntar </w:t>
            </w:r>
            <w:r w:rsidRPr="008777F2">
              <w:rPr>
                <w:rFonts w:ascii="Arial Narrow" w:eastAsiaTheme="minorEastAsia" w:hAnsi="Arial Narrow" w:cs="Arial"/>
                <w:szCs w:val="24"/>
                <w:lang w:val="es-ES"/>
              </w:rPr>
              <w:t>y los siguientes documentos:</w:t>
            </w:r>
          </w:p>
        </w:tc>
      </w:tr>
      <w:tr w:rsidR="007B333C" w:rsidRPr="008777F2" w:rsidTr="00032418">
        <w:tc>
          <w:tcPr>
            <w:tcW w:w="8930" w:type="dxa"/>
          </w:tcPr>
          <w:p w:rsidR="007B333C" w:rsidRPr="002A1FEE" w:rsidRDefault="007B333C" w:rsidP="002A1FEE">
            <w:pPr>
              <w:jc w:val="both"/>
              <w:rPr>
                <w:rFonts w:ascii="Arial Narrow" w:eastAsiaTheme="minorEastAsia" w:hAnsi="Arial Narrow" w:cs="Arial"/>
                <w:szCs w:val="24"/>
                <w:lang w:val="es-ES"/>
              </w:rPr>
            </w:pPr>
            <w:r w:rsidRPr="002A1FEE">
              <w:rPr>
                <w:rFonts w:ascii="Arial Narrow" w:eastAsiaTheme="minorEastAsia" w:hAnsi="Arial Narrow" w:cs="Arial"/>
                <w:szCs w:val="24"/>
                <w:lang w:val="es-ES"/>
              </w:rPr>
              <w:t>La manifestación de impacto regulatorio que incluye la dirección electrónica donde está el informe con observaciones ciudadanas frente al proyecto de acto administrativo, el proyecto definitivo de acto administrativo y el oficio mediante el cual se solicita la autorización del trámite.</w:t>
            </w:r>
          </w:p>
        </w:tc>
      </w:tr>
      <w:tr w:rsidR="007B333C" w:rsidRPr="008777F2" w:rsidTr="00032418">
        <w:tc>
          <w:tcPr>
            <w:tcW w:w="8930" w:type="dxa"/>
          </w:tcPr>
          <w:p w:rsidR="007B333C" w:rsidRPr="008777F2" w:rsidRDefault="007B333C" w:rsidP="00032418">
            <w:pPr>
              <w:jc w:val="both"/>
              <w:rPr>
                <w:rFonts w:ascii="Arial Narrow" w:eastAsiaTheme="minorEastAsia" w:hAnsi="Arial Narrow" w:cs="Arial"/>
                <w:szCs w:val="24"/>
                <w:lang w:val="es-ES"/>
              </w:rPr>
            </w:pPr>
            <w:r w:rsidRPr="008777F2">
              <w:rPr>
                <w:rFonts w:ascii="Arial Narrow" w:eastAsiaTheme="minorEastAsia" w:hAnsi="Arial Narrow" w:cs="Arial"/>
                <w:szCs w:val="24"/>
                <w:lang w:val="es-ES"/>
              </w:rPr>
              <w:t>2. El Departamento Administrativo de la Función Pública revisará los documentos aportados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por la entidad solicitante</w:t>
            </w:r>
            <w:r w:rsidRPr="008777F2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, dentro de los quince (15) días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hábiles </w:t>
            </w:r>
            <w:r w:rsidRPr="008777F2">
              <w:rPr>
                <w:rFonts w:ascii="Arial Narrow" w:eastAsiaTheme="minorEastAsia" w:hAnsi="Arial Narrow" w:cs="Arial"/>
                <w:szCs w:val="24"/>
                <w:lang w:val="es-ES"/>
              </w:rPr>
              <w:t>siguientes al registro</w:t>
            </w:r>
            <w:r w:rsidR="001169A9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</w:t>
            </w:r>
            <w:r w:rsidRPr="008777F2">
              <w:rPr>
                <w:rFonts w:ascii="Arial Narrow" w:eastAsiaTheme="minorEastAsia" w:hAnsi="Arial Narrow" w:cs="Arial"/>
                <w:szCs w:val="24"/>
                <w:lang w:val="es-ES"/>
              </w:rPr>
              <w:t>en el SUIT.</w:t>
            </w:r>
          </w:p>
        </w:tc>
      </w:tr>
      <w:tr w:rsidR="007B333C" w:rsidRPr="008777F2" w:rsidTr="00032418">
        <w:tc>
          <w:tcPr>
            <w:tcW w:w="8930" w:type="dxa"/>
          </w:tcPr>
          <w:p w:rsidR="007B333C" w:rsidRPr="008777F2" w:rsidRDefault="007B333C" w:rsidP="00032418">
            <w:pPr>
              <w:jc w:val="both"/>
              <w:rPr>
                <w:rFonts w:ascii="Arial Narrow" w:eastAsiaTheme="minorEastAsia" w:hAnsi="Arial Narrow" w:cs="Arial"/>
                <w:szCs w:val="24"/>
                <w:lang w:val="es-ES"/>
              </w:rPr>
            </w:pPr>
            <w:r w:rsidRPr="008777F2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3. El Departamento Administrativo de la Función Pública podrá solicitar información adicional o ajustes a los documentos presentados para que la entidad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lleve a cabo las </w:t>
            </w:r>
            <w:r w:rsidRPr="008777F2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aclaraciones o modificaciones a la propuesta del trámite nuevo o a la modificación estructural, cuando sea necesario. Esta solicitud de información adicional y la respuesta a la misma, se ejecutará mediante correspondencia física o correo electrónico. </w:t>
            </w:r>
          </w:p>
          <w:p w:rsidR="007B333C" w:rsidRPr="008777F2" w:rsidRDefault="007B333C" w:rsidP="00032418">
            <w:pPr>
              <w:jc w:val="both"/>
              <w:rPr>
                <w:rFonts w:ascii="Arial Narrow" w:eastAsiaTheme="minorEastAsia" w:hAnsi="Arial Narrow" w:cs="Arial"/>
                <w:szCs w:val="24"/>
                <w:lang w:val="es-ES"/>
              </w:rPr>
            </w:pPr>
          </w:p>
          <w:p w:rsidR="007B333C" w:rsidRPr="008777F2" w:rsidRDefault="007B333C" w:rsidP="00032418">
            <w:pPr>
              <w:jc w:val="both"/>
              <w:rPr>
                <w:rFonts w:ascii="Arial Narrow" w:eastAsiaTheme="minorEastAsia" w:hAnsi="Arial Narrow" w:cs="Arial"/>
                <w:szCs w:val="24"/>
                <w:lang w:val="es-ES"/>
              </w:rPr>
            </w:pPr>
            <w:r w:rsidRPr="008777F2">
              <w:rPr>
                <w:rFonts w:ascii="Arial Narrow" w:eastAsiaTheme="minorEastAsia" w:hAnsi="Arial Narrow" w:cs="Arial"/>
                <w:szCs w:val="24"/>
                <w:lang w:val="es-ES"/>
              </w:rPr>
              <w:t>Cuando la solicitud de ajuste así lo requiera, se podrá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>n</w:t>
            </w:r>
            <w:r w:rsidRPr="008777F2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acordar mesas de trabajo entre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>el equipo</w:t>
            </w:r>
            <w:r w:rsidRPr="008777F2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de Función Pública y el equipo responsable de la entidad de manera que se aclaren los aspectos que deben mejorarse.</w:t>
            </w:r>
          </w:p>
        </w:tc>
      </w:tr>
      <w:tr w:rsidR="007B333C" w:rsidRPr="008777F2" w:rsidTr="00032418">
        <w:tc>
          <w:tcPr>
            <w:tcW w:w="8930" w:type="dxa"/>
          </w:tcPr>
          <w:p w:rsidR="007B333C" w:rsidRPr="008777F2" w:rsidRDefault="007B333C" w:rsidP="00032418">
            <w:pPr>
              <w:jc w:val="both"/>
              <w:rPr>
                <w:rFonts w:ascii="Arial Narrow" w:eastAsiaTheme="minorEastAsia" w:hAnsi="Arial Narrow" w:cs="Arial"/>
                <w:szCs w:val="24"/>
              </w:rPr>
            </w:pPr>
            <w:r w:rsidRPr="008777F2">
              <w:rPr>
                <w:rFonts w:ascii="Arial Narrow" w:eastAsiaTheme="minorEastAsia" w:hAnsi="Arial Narrow" w:cs="Arial"/>
                <w:szCs w:val="24"/>
                <w:lang w:val="es-ES"/>
              </w:rPr>
              <w:t>4. El Departamento Administrativo de la Función Pública, emitirá concepto frente a la solicitud presentada por la entidad, autorizando o denegando la solicitud, según el caso, en un término de treinta (30) días hábiles, contados a partir de la radicación física o del registro de la solicitud a través del SUIT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>.</w:t>
            </w:r>
            <w:r w:rsidRPr="00032418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 Cuando se solicita información adicional a la entidad, este término se suspende.</w:t>
            </w:r>
            <w:r>
              <w:t xml:space="preserve"> </w:t>
            </w:r>
          </w:p>
        </w:tc>
      </w:tr>
      <w:tr w:rsidR="007B333C" w:rsidRPr="00055A09" w:rsidTr="00032418">
        <w:tc>
          <w:tcPr>
            <w:tcW w:w="8930" w:type="dxa"/>
          </w:tcPr>
          <w:p w:rsidR="007B333C" w:rsidRPr="00055A09" w:rsidRDefault="007B333C" w:rsidP="00032418">
            <w:pPr>
              <w:jc w:val="both"/>
              <w:rPr>
                <w:rFonts w:ascii="Arial Narrow" w:eastAsiaTheme="minorEastAsia" w:hAnsi="Arial Narrow" w:cs="Arial"/>
                <w:szCs w:val="24"/>
                <w:lang w:val="es-ES"/>
              </w:rPr>
            </w:pPr>
            <w:r w:rsidRPr="008777F2">
              <w:rPr>
                <w:rFonts w:ascii="Arial Narrow" w:eastAsiaTheme="minorEastAsia" w:hAnsi="Arial Narrow" w:cs="Arial"/>
                <w:szCs w:val="24"/>
                <w:lang w:val="es-ES"/>
              </w:rPr>
              <w:t>5. Una vez autorizado el trámite y se haya expedido el acto administrativo que lo regula, la entidad responsable deberá finalizar el registro para su inscripción en el sistema único de información de trámites (SUIT).</w:t>
            </w:r>
          </w:p>
        </w:tc>
      </w:tr>
    </w:tbl>
    <w:p w:rsidR="007B333C" w:rsidRPr="008D0582" w:rsidRDefault="007B333C" w:rsidP="007B333C">
      <w:pPr>
        <w:spacing w:after="160" w:line="259" w:lineRule="auto"/>
        <w:jc w:val="center"/>
        <w:rPr>
          <w:rFonts w:ascii="Arial Narrow" w:hAnsi="Arial Narrow" w:cs="Arial"/>
        </w:rPr>
      </w:pPr>
      <w:r w:rsidRPr="008D0582">
        <w:rPr>
          <w:rFonts w:ascii="Arial Narrow" w:hAnsi="Arial Narrow" w:cs="Arial"/>
        </w:rPr>
        <w:t xml:space="preserve">Fuente: Función Pública 2019 con base en </w:t>
      </w:r>
      <w:r w:rsidRPr="008D0582">
        <w:rPr>
          <w:rFonts w:ascii="Arial Narrow" w:hAnsi="Arial Narrow" w:cs="Arial"/>
          <w:szCs w:val="24"/>
        </w:rPr>
        <w:t>la Resolución 1099 de 2017</w:t>
      </w:r>
    </w:p>
    <w:p w:rsidR="007B333C" w:rsidRDefault="007B333C" w:rsidP="007B333C">
      <w:pPr>
        <w:jc w:val="both"/>
        <w:rPr>
          <w:rFonts w:ascii="Arial Narrow" w:hAnsi="Arial Narrow" w:cs="Arial"/>
          <w:b/>
        </w:rPr>
      </w:pPr>
    </w:p>
    <w:p w:rsidR="007B333C" w:rsidRDefault="007B333C" w:rsidP="007B333C">
      <w:pPr>
        <w:jc w:val="both"/>
        <w:rPr>
          <w:rFonts w:ascii="Arial Narrow" w:hAnsi="Arial Narrow" w:cs="Arial"/>
          <w:b/>
        </w:rPr>
      </w:pPr>
    </w:p>
    <w:p w:rsidR="007B333C" w:rsidRPr="00510E51" w:rsidRDefault="007B333C" w:rsidP="007B333C">
      <w:pPr>
        <w:jc w:val="both"/>
        <w:rPr>
          <w:rFonts w:ascii="Arial Narrow" w:eastAsiaTheme="minorEastAsia" w:hAnsi="Arial Narrow" w:cs="Arial"/>
          <w:szCs w:val="24"/>
          <w:lang w:val="es-ES"/>
        </w:rPr>
      </w:pPr>
    </w:p>
    <w:p w:rsidR="007B333C" w:rsidRDefault="007B333C" w:rsidP="007B333C">
      <w:pPr>
        <w:jc w:val="both"/>
        <w:rPr>
          <w:rFonts w:ascii="Arial Narrow" w:hAnsi="Arial Narrow" w:cs="Arial"/>
        </w:rPr>
      </w:pPr>
    </w:p>
    <w:p w:rsidR="007B333C" w:rsidRDefault="007B333C" w:rsidP="007B333C">
      <w:pPr>
        <w:jc w:val="both"/>
        <w:rPr>
          <w:rFonts w:ascii="Arial Narrow" w:hAnsi="Arial Narrow" w:cs="Arial"/>
          <w:b/>
        </w:rPr>
      </w:pPr>
    </w:p>
    <w:p w:rsidR="001334AD" w:rsidRDefault="001334AD">
      <w:pPr>
        <w:spacing w:after="200"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:rsidR="007B333C" w:rsidRPr="00B12BA0" w:rsidRDefault="002A1FEE" w:rsidP="007B333C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P</w:t>
      </w:r>
      <w:r w:rsidR="007B333C" w:rsidRPr="00B12BA0">
        <w:rPr>
          <w:rFonts w:ascii="Arial Narrow" w:hAnsi="Arial Narrow" w:cs="Arial"/>
          <w:b/>
        </w:rPr>
        <w:t xml:space="preserve">rocedimiento </w:t>
      </w:r>
      <w:r w:rsidR="007B333C">
        <w:rPr>
          <w:rFonts w:ascii="Arial Narrow" w:hAnsi="Arial Narrow" w:cs="Arial"/>
          <w:b/>
        </w:rPr>
        <w:t>para</w:t>
      </w:r>
      <w:r w:rsidR="007B333C" w:rsidRPr="00B12BA0">
        <w:rPr>
          <w:rFonts w:ascii="Arial Narrow" w:hAnsi="Arial Narrow" w:cs="Arial"/>
          <w:b/>
        </w:rPr>
        <w:t xml:space="preserve"> la solicitud de modificación </w:t>
      </w:r>
      <w:r w:rsidR="007B333C">
        <w:rPr>
          <w:rFonts w:ascii="Arial Narrow" w:hAnsi="Arial Narrow" w:cs="Arial"/>
          <w:b/>
        </w:rPr>
        <w:t xml:space="preserve">estructural </w:t>
      </w:r>
    </w:p>
    <w:p w:rsidR="007B333C" w:rsidRDefault="007B333C" w:rsidP="007B333C">
      <w:pPr>
        <w:jc w:val="both"/>
        <w:rPr>
          <w:rFonts w:ascii="Arial Narrow" w:hAnsi="Arial Narrow" w:cs="Arial"/>
        </w:rPr>
      </w:pPr>
    </w:p>
    <w:p w:rsidR="007B333C" w:rsidRDefault="007B333C" w:rsidP="007B333C">
      <w:pPr>
        <w:jc w:val="both"/>
        <w:rPr>
          <w:rFonts w:ascii="Arial Narrow" w:hAnsi="Arial Narrow" w:cs="Arial"/>
        </w:rPr>
      </w:pPr>
      <w:r w:rsidRPr="008777F2">
        <w:rPr>
          <w:rFonts w:ascii="Arial Narrow" w:hAnsi="Arial Narrow" w:cs="Arial"/>
        </w:rPr>
        <w:t>Hay diferencias en los pasos a seguir</w:t>
      </w:r>
      <w:r>
        <w:rPr>
          <w:rFonts w:ascii="Arial Narrow" w:hAnsi="Arial Narrow" w:cs="Arial"/>
        </w:rPr>
        <w:t xml:space="preserve"> </w:t>
      </w:r>
      <w:r w:rsidRPr="008777F2">
        <w:rPr>
          <w:rFonts w:ascii="Arial Narrow" w:hAnsi="Arial Narrow" w:cs="Arial"/>
        </w:rPr>
        <w:t>para solicitar la adopción o implementación de un trámite cuando fue creado por una ley, frente a la modificación estructural de un trámite que está registrado en el sistema único de información de trámites (SUIT)</w:t>
      </w:r>
      <w:r>
        <w:rPr>
          <w:rFonts w:ascii="Arial Narrow" w:hAnsi="Arial Narrow" w:cs="Arial"/>
        </w:rPr>
        <w:t>,</w:t>
      </w:r>
      <w:r w:rsidRPr="008777F2">
        <w:rPr>
          <w:rFonts w:ascii="Arial Narrow" w:hAnsi="Arial Narrow" w:cs="Arial"/>
        </w:rPr>
        <w:t xml:space="preserve"> pero requiere ser actualizado en alguno de sus componentes principales (costos, requisitos, tiempos, responsables). A continuación se presenta un cuadro comparativo de estos pasos y sus diferencias:</w:t>
      </w:r>
    </w:p>
    <w:p w:rsidR="007B333C" w:rsidRDefault="007B333C" w:rsidP="007B333C">
      <w:pPr>
        <w:jc w:val="both"/>
        <w:rPr>
          <w:rFonts w:ascii="Arial Narrow" w:hAnsi="Arial Narrow" w:cs="Arial"/>
        </w:rPr>
      </w:pPr>
    </w:p>
    <w:p w:rsidR="007B333C" w:rsidRDefault="007B333C" w:rsidP="007B333C">
      <w:pPr>
        <w:jc w:val="center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Comparativo sobre el p</w:t>
      </w:r>
      <w:r w:rsidRPr="00055A09">
        <w:rPr>
          <w:rFonts w:ascii="Arial Narrow" w:hAnsi="Arial Narrow" w:cs="Arial"/>
          <w:b/>
          <w:szCs w:val="24"/>
        </w:rPr>
        <w:t>rocedimi</w:t>
      </w:r>
      <w:r>
        <w:rPr>
          <w:rFonts w:ascii="Arial Narrow" w:hAnsi="Arial Narrow" w:cs="Arial"/>
          <w:b/>
          <w:szCs w:val="24"/>
        </w:rPr>
        <w:t>ento para solicitar</w:t>
      </w:r>
    </w:p>
    <w:p w:rsidR="007B333C" w:rsidRPr="00055A09" w:rsidRDefault="007B333C" w:rsidP="007B333C">
      <w:pPr>
        <w:jc w:val="center"/>
        <w:rPr>
          <w:rFonts w:ascii="Arial Narrow" w:hAnsi="Arial Narrow" w:cs="Arial"/>
          <w:b/>
          <w:szCs w:val="24"/>
        </w:rPr>
      </w:pPr>
      <w:proofErr w:type="gramStart"/>
      <w:r>
        <w:rPr>
          <w:rFonts w:ascii="Arial Narrow" w:hAnsi="Arial Narrow" w:cs="Arial"/>
          <w:b/>
          <w:szCs w:val="24"/>
        </w:rPr>
        <w:t>la</w:t>
      </w:r>
      <w:proofErr w:type="gramEnd"/>
      <w:r>
        <w:rPr>
          <w:rFonts w:ascii="Arial Narrow" w:hAnsi="Arial Narrow" w:cs="Arial"/>
          <w:b/>
          <w:szCs w:val="24"/>
        </w:rPr>
        <w:t xml:space="preserve"> creación, adopción o</w:t>
      </w:r>
      <w:r w:rsidRPr="00055A09">
        <w:rPr>
          <w:rFonts w:ascii="Arial Narrow" w:hAnsi="Arial Narrow" w:cs="Arial"/>
          <w:b/>
          <w:szCs w:val="24"/>
        </w:rPr>
        <w:t xml:space="preserve"> implementación </w:t>
      </w:r>
      <w:r>
        <w:rPr>
          <w:rFonts w:ascii="Arial Narrow" w:hAnsi="Arial Narrow" w:cs="Arial"/>
          <w:b/>
          <w:szCs w:val="24"/>
        </w:rPr>
        <w:t xml:space="preserve">de un trámite frente a la solicitud de </w:t>
      </w:r>
      <w:r w:rsidRPr="00055A09">
        <w:rPr>
          <w:rFonts w:ascii="Arial Narrow" w:hAnsi="Arial Narrow" w:cs="Arial"/>
          <w:b/>
          <w:szCs w:val="24"/>
        </w:rPr>
        <w:t>modificación de trámites</w:t>
      </w:r>
    </w:p>
    <w:p w:rsidR="007B333C" w:rsidRPr="00055A09" w:rsidRDefault="007B333C" w:rsidP="007B333C">
      <w:pPr>
        <w:jc w:val="both"/>
        <w:rPr>
          <w:rFonts w:ascii="Arial Narrow" w:hAnsi="Arial Narrow" w:cs="Arial"/>
          <w:b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402"/>
        <w:gridCol w:w="4778"/>
      </w:tblGrid>
      <w:tr w:rsidR="007B333C" w:rsidRPr="00A17056" w:rsidTr="00032418">
        <w:tc>
          <w:tcPr>
            <w:tcW w:w="4402" w:type="dxa"/>
          </w:tcPr>
          <w:p w:rsidR="007B333C" w:rsidRPr="00A17056" w:rsidRDefault="007B333C" w:rsidP="00032418">
            <w:pPr>
              <w:jc w:val="center"/>
              <w:rPr>
                <w:rFonts w:ascii="Arial Narrow" w:hAnsi="Arial Narrow" w:cs="Arial"/>
                <w:b/>
                <w:szCs w:val="24"/>
                <w:lang w:val="es-ES"/>
              </w:rPr>
            </w:pPr>
            <w:r w:rsidRPr="00A17056">
              <w:rPr>
                <w:rFonts w:ascii="Arial Narrow" w:hAnsi="Arial Narrow" w:cs="Arial"/>
                <w:b/>
                <w:szCs w:val="24"/>
                <w:lang w:val="es-ES"/>
              </w:rPr>
              <w:t xml:space="preserve">Creación, adopción o implementación del trámite establecido por la </w:t>
            </w:r>
            <w:r>
              <w:rPr>
                <w:rFonts w:ascii="Arial Narrow" w:hAnsi="Arial Narrow" w:cs="Arial"/>
                <w:b/>
                <w:szCs w:val="24"/>
                <w:lang w:val="es-ES"/>
              </w:rPr>
              <w:t>l</w:t>
            </w:r>
            <w:r w:rsidRPr="00A17056">
              <w:rPr>
                <w:rFonts w:ascii="Arial Narrow" w:hAnsi="Arial Narrow" w:cs="Arial"/>
                <w:b/>
                <w:szCs w:val="24"/>
                <w:lang w:val="es-ES"/>
              </w:rPr>
              <w:t>ey</w:t>
            </w:r>
          </w:p>
        </w:tc>
        <w:tc>
          <w:tcPr>
            <w:tcW w:w="4778" w:type="dxa"/>
          </w:tcPr>
          <w:p w:rsidR="007B333C" w:rsidRPr="00A17056" w:rsidRDefault="007B333C" w:rsidP="00032418">
            <w:pPr>
              <w:jc w:val="center"/>
              <w:rPr>
                <w:rFonts w:ascii="Arial Narrow" w:hAnsi="Arial Narrow" w:cs="Arial"/>
                <w:b/>
                <w:szCs w:val="24"/>
                <w:lang w:val="es-ES"/>
              </w:rPr>
            </w:pPr>
            <w:r w:rsidRPr="00A17056">
              <w:rPr>
                <w:rFonts w:ascii="Arial Narrow" w:hAnsi="Arial Narrow" w:cs="Arial"/>
                <w:b/>
                <w:szCs w:val="24"/>
                <w:lang w:val="es-ES"/>
              </w:rPr>
              <w:t>Modificación estructural del trámite inscrito en SUIT</w:t>
            </w:r>
          </w:p>
        </w:tc>
      </w:tr>
      <w:tr w:rsidR="007B333C" w:rsidRPr="00A17056" w:rsidTr="00032418">
        <w:tc>
          <w:tcPr>
            <w:tcW w:w="4402" w:type="dxa"/>
          </w:tcPr>
          <w:p w:rsidR="007B333C" w:rsidRPr="00A17056" w:rsidRDefault="007B333C" w:rsidP="007B333C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Cs w:val="24"/>
              </w:rPr>
            </w:pP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El jefe del área de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>p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laneación de la entidad que implementa el trámite, ingresa los datos básicos del trámite propuesto</w:t>
            </w:r>
            <w:r w:rsidRPr="00A17056">
              <w:rPr>
                <w:rFonts w:ascii="Arial Narrow" w:hAnsi="Arial Narrow"/>
              </w:rPr>
              <w:t xml:space="preserve"> (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propósito, norma  y los momentos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o</w:t>
            </w:r>
            <w:r w:rsidR="002A1FEE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pasos) en el sistema único de información de trámites (SUIT).</w:t>
            </w:r>
          </w:p>
        </w:tc>
        <w:tc>
          <w:tcPr>
            <w:tcW w:w="4778" w:type="dxa"/>
          </w:tcPr>
          <w:p w:rsidR="007B333C" w:rsidRPr="00A17056" w:rsidRDefault="007B333C" w:rsidP="007B333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Cs w:val="24"/>
                <w:lang w:val="es-ES"/>
              </w:rPr>
            </w:pP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El administrador de trámites (AT) de la entidad deben ingresar la actualización del trámite en el sistema único de información de trámites (SUIT).</w:t>
            </w:r>
          </w:p>
          <w:p w:rsidR="007B333C" w:rsidRPr="00A17056" w:rsidRDefault="007B333C" w:rsidP="007B333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Cs w:val="24"/>
                <w:lang w:val="es-ES"/>
              </w:rPr>
            </w:pP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Función Pública revisa </w:t>
            </w:r>
            <w:r>
              <w:rPr>
                <w:rFonts w:ascii="Arial Narrow" w:eastAsiaTheme="minorEastAsia" w:hAnsi="Arial Narrow" w:cs="Arial"/>
                <w:szCs w:val="24"/>
              </w:rPr>
              <w:t>la actualización del trámite</w:t>
            </w:r>
            <w:r w:rsidR="00D3741F">
              <w:rPr>
                <w:rFonts w:ascii="Arial Narrow" w:eastAsiaTheme="minorEastAsia" w:hAnsi="Arial Narrow" w:cs="Arial"/>
                <w:szCs w:val="24"/>
              </w:rPr>
              <w:t xml:space="preserve">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y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>,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si se identifican cambios estructurales en el trámite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le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envía observaciones a la entidad, inform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>á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ndo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>le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que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sí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es una modificación estructural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>.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</w:t>
            </w:r>
          </w:p>
          <w:p w:rsidR="007B333C" w:rsidRPr="00A17056" w:rsidRDefault="007B333C" w:rsidP="007B333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Cs w:val="24"/>
                <w:lang w:val="es-ES"/>
              </w:rPr>
            </w:pP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La entidad recibe el comentario, a través del SUIT, que </w:t>
            </w:r>
            <w:r w:rsidR="00D3741F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le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informa que la actualización del trámite es modificación estructural. </w:t>
            </w:r>
          </w:p>
        </w:tc>
      </w:tr>
      <w:tr w:rsidR="007B333C" w:rsidRPr="00A17056" w:rsidTr="00032418">
        <w:tc>
          <w:tcPr>
            <w:tcW w:w="4402" w:type="dxa"/>
          </w:tcPr>
          <w:p w:rsidR="007B333C" w:rsidRPr="00A17056" w:rsidRDefault="007B333C" w:rsidP="007B333C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Cs w:val="24"/>
              </w:rPr>
            </w:pP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La entidad debe anexar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la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manifestación de impacto regulatorio (MIR) y el proyecto de acto administrativo a través del SUIT. Si no tiene infraestructura tecnológica debe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>remitir la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solicitud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mediante correspondencia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físic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>a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o correo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electrónico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institucional. </w:t>
            </w:r>
          </w:p>
        </w:tc>
        <w:tc>
          <w:tcPr>
            <w:tcW w:w="4778" w:type="dxa"/>
          </w:tcPr>
          <w:p w:rsidR="007B333C" w:rsidRPr="00A17056" w:rsidRDefault="007B333C" w:rsidP="007B333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Cs w:val="24"/>
                <w:lang w:val="es-ES"/>
              </w:rPr>
            </w:pP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La entidad debe remitir </w:t>
            </w:r>
            <w:r>
              <w:rPr>
                <w:rFonts w:ascii="Arial Narrow" w:eastAsiaTheme="minorEastAsia" w:hAnsi="Arial Narrow" w:cs="Arial"/>
                <w:szCs w:val="24"/>
              </w:rPr>
              <w:t xml:space="preserve">a </w:t>
            </w:r>
            <w:r w:rsidRPr="00A17056">
              <w:rPr>
                <w:rFonts w:ascii="Arial Narrow" w:eastAsiaTheme="minorEastAsia" w:hAnsi="Arial Narrow" w:cs="Arial"/>
                <w:szCs w:val="24"/>
              </w:rPr>
              <w:t>Función Pública la manifestación de impacto</w:t>
            </w:r>
            <w:r>
              <w:rPr>
                <w:rFonts w:ascii="Arial Narrow" w:eastAsiaTheme="minorEastAsia" w:hAnsi="Arial Narrow" w:cs="Arial"/>
                <w:szCs w:val="24"/>
                <w:u w:val="single"/>
              </w:rPr>
              <w:t xml:space="preserve"> </w:t>
            </w:r>
            <w:r w:rsidRPr="00A17056">
              <w:rPr>
                <w:rFonts w:ascii="Arial Narrow" w:eastAsiaTheme="minorEastAsia" w:hAnsi="Arial Narrow" w:cs="Arial"/>
                <w:szCs w:val="24"/>
              </w:rPr>
              <w:t>regulatorio (MIR) y el proyecto de acto administrativo</w:t>
            </w:r>
            <w:r>
              <w:rPr>
                <w:rFonts w:ascii="Arial Narrow" w:eastAsiaTheme="minorEastAsia" w:hAnsi="Arial Narrow" w:cs="Arial"/>
                <w:szCs w:val="24"/>
              </w:rPr>
              <w:t xml:space="preserve">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mediante correspondencia física o correo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electrónico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institucional.</w:t>
            </w:r>
          </w:p>
        </w:tc>
      </w:tr>
      <w:tr w:rsidR="007B333C" w:rsidRPr="00A17056" w:rsidTr="00032418">
        <w:tc>
          <w:tcPr>
            <w:tcW w:w="4402" w:type="dxa"/>
          </w:tcPr>
          <w:p w:rsidR="007B333C" w:rsidRPr="00A17056" w:rsidRDefault="007B333C" w:rsidP="00D3741F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Cs w:val="24"/>
              </w:rPr>
            </w:pP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La entidad reporta la dirección electrónica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donde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está el informe con el análisis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a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las observaciones</w:t>
            </w:r>
            <w:r w:rsidR="00D3741F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ciudadanas frente al proyecto de acto administrativo.</w:t>
            </w:r>
          </w:p>
        </w:tc>
        <w:tc>
          <w:tcPr>
            <w:tcW w:w="4778" w:type="dxa"/>
          </w:tcPr>
          <w:p w:rsidR="007B333C" w:rsidRPr="00A17056" w:rsidRDefault="007B333C" w:rsidP="007B333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Cs w:val="24"/>
                <w:lang w:val="es-ES"/>
              </w:rPr>
            </w:pP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La entidad reporta la dirección electrónica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>donde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está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el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informe con el análisis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a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las observaciones ciudadanas frente al acto administrativo que modifica estructuralmente el trámite.</w:t>
            </w:r>
          </w:p>
        </w:tc>
      </w:tr>
      <w:tr w:rsidR="007B333C" w:rsidRPr="00A17056" w:rsidTr="00032418">
        <w:tc>
          <w:tcPr>
            <w:tcW w:w="4402" w:type="dxa"/>
          </w:tcPr>
          <w:p w:rsidR="007B333C" w:rsidRPr="00A17056" w:rsidRDefault="007B333C" w:rsidP="007B333C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Cs w:val="24"/>
              </w:rPr>
            </w:pP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Función Pública en 15 días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hábiles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revisa</w:t>
            </w:r>
            <w:r w:rsidR="00D3741F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la solicitud.</w:t>
            </w:r>
          </w:p>
        </w:tc>
        <w:tc>
          <w:tcPr>
            <w:tcW w:w="4778" w:type="dxa"/>
          </w:tcPr>
          <w:p w:rsidR="007B333C" w:rsidRPr="00A17056" w:rsidRDefault="007B333C" w:rsidP="007B333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Cs w:val="24"/>
                <w:lang w:val="es-ES"/>
              </w:rPr>
            </w:pP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Función Pública en 15 días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hábiles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revisa la solicitud de modificación estructural.</w:t>
            </w:r>
          </w:p>
        </w:tc>
      </w:tr>
      <w:tr w:rsidR="007B333C" w:rsidRPr="00A17056" w:rsidTr="00032418">
        <w:tc>
          <w:tcPr>
            <w:tcW w:w="4402" w:type="dxa"/>
          </w:tcPr>
          <w:p w:rsidR="007B333C" w:rsidRPr="00A17056" w:rsidRDefault="007B333C" w:rsidP="007B333C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Cs w:val="24"/>
              </w:rPr>
            </w:pPr>
            <w:r w:rsidRPr="00A17056">
              <w:rPr>
                <w:rFonts w:ascii="Arial Narrow" w:eastAsiaTheme="minorEastAsia" w:hAnsi="Arial Narrow" w:cs="Arial"/>
                <w:szCs w:val="24"/>
              </w:rPr>
              <w:t>Cuando Función Pública solicite información adicional o ajustes a la solicitud para autorización de trámites, la e</w:t>
            </w:r>
            <w:proofErr w:type="spellStart"/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ntidad</w:t>
            </w:r>
            <w:proofErr w:type="spellEnd"/>
            <w:r w:rsidR="00D3741F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debe remitirlos mediante correspondencia en físico o a través del correo 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electrónico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institucional, en el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lastRenderedPageBreak/>
              <w:t>término máximo de un (1) mes.</w:t>
            </w:r>
          </w:p>
          <w:p w:rsidR="007B333C" w:rsidRPr="00A17056" w:rsidRDefault="007B333C" w:rsidP="00032418">
            <w:pPr>
              <w:ind w:left="360"/>
              <w:jc w:val="both"/>
              <w:rPr>
                <w:rFonts w:ascii="Arial Narrow" w:hAnsi="Arial Narrow" w:cs="Arial"/>
                <w:szCs w:val="24"/>
              </w:rPr>
            </w:pPr>
          </w:p>
          <w:p w:rsidR="007B333C" w:rsidRPr="00A17056" w:rsidRDefault="007B333C" w:rsidP="00032418">
            <w:pPr>
              <w:ind w:left="360"/>
              <w:jc w:val="both"/>
              <w:rPr>
                <w:rFonts w:ascii="Arial Narrow" w:hAnsi="Arial Narrow" w:cs="Arial"/>
                <w:szCs w:val="24"/>
              </w:rPr>
            </w:pP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Vencido el plazo anterior, se entenderá que la entidad ha desistido de su solicitud cuando no presente la información o ajuste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>s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solicitados. Salvo que solicite prórroga antes de cumplirse el mes (ver artículo 17 del Código de Procedimiento Administrativo y de lo Contencioso Administrativo.</w:t>
            </w:r>
          </w:p>
        </w:tc>
        <w:tc>
          <w:tcPr>
            <w:tcW w:w="4778" w:type="dxa"/>
          </w:tcPr>
          <w:p w:rsidR="007B333C" w:rsidRPr="00A17056" w:rsidRDefault="007B333C" w:rsidP="007B333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Cs w:val="24"/>
                <w:lang w:val="es-ES"/>
              </w:rPr>
            </w:pPr>
            <w:r w:rsidRPr="00A17056">
              <w:rPr>
                <w:rFonts w:ascii="Arial Narrow" w:eastAsiaTheme="minorEastAsia" w:hAnsi="Arial Narrow" w:cs="Arial"/>
                <w:szCs w:val="24"/>
              </w:rPr>
              <w:lastRenderedPageBreak/>
              <w:t xml:space="preserve">Cuando Función Pública solicite información adicional o ajustes </w:t>
            </w:r>
            <w:r>
              <w:rPr>
                <w:rFonts w:ascii="Arial Narrow" w:eastAsiaTheme="minorEastAsia" w:hAnsi="Arial Narrow" w:cs="Arial"/>
                <w:szCs w:val="24"/>
              </w:rPr>
              <w:t>adicionales</w:t>
            </w:r>
            <w:r w:rsidR="00D3741F">
              <w:rPr>
                <w:rFonts w:ascii="Arial Narrow" w:eastAsiaTheme="minorEastAsia" w:hAnsi="Arial Narrow" w:cs="Arial"/>
                <w:szCs w:val="24"/>
              </w:rPr>
              <w:t>,</w:t>
            </w:r>
            <w:r w:rsidRPr="00A17056">
              <w:rPr>
                <w:rFonts w:ascii="Arial Narrow" w:hAnsi="Arial Narrow" w:cs="Arial"/>
                <w:szCs w:val="24"/>
                <w:lang w:val="es-ES"/>
              </w:rPr>
              <w:t xml:space="preserve"> </w:t>
            </w:r>
            <w:r>
              <w:rPr>
                <w:rFonts w:ascii="Arial Narrow" w:hAnsi="Arial Narrow" w:cs="Arial"/>
                <w:szCs w:val="24"/>
                <w:lang w:val="es-ES"/>
              </w:rPr>
              <w:t>l</w:t>
            </w:r>
            <w:r w:rsidRPr="00A17056">
              <w:rPr>
                <w:rFonts w:ascii="Arial Narrow" w:hAnsi="Arial Narrow" w:cs="Arial"/>
                <w:szCs w:val="24"/>
                <w:lang w:val="es-ES"/>
              </w:rPr>
              <w:t>a</w:t>
            </w:r>
            <w:r w:rsidR="001334AD">
              <w:rPr>
                <w:rFonts w:ascii="Arial Narrow" w:hAnsi="Arial Narrow" w:cs="Arial"/>
                <w:szCs w:val="24"/>
                <w:lang w:val="es-ES"/>
              </w:rPr>
              <w:t xml:space="preserve"> </w:t>
            </w:r>
            <w:r w:rsidRPr="00A17056">
              <w:rPr>
                <w:rFonts w:ascii="Arial Narrow" w:hAnsi="Arial Narrow" w:cs="Arial"/>
                <w:szCs w:val="24"/>
                <w:lang w:val="es-ES"/>
              </w:rPr>
              <w:t xml:space="preserve">entidad debe presentar los </w:t>
            </w:r>
            <w:r>
              <w:rPr>
                <w:rFonts w:ascii="Arial Narrow" w:hAnsi="Arial Narrow" w:cs="Arial"/>
                <w:szCs w:val="24"/>
                <w:lang w:val="es-ES"/>
              </w:rPr>
              <w:t>cambios</w:t>
            </w:r>
            <w:r w:rsidRPr="00A17056">
              <w:rPr>
                <w:rFonts w:ascii="Arial Narrow" w:hAnsi="Arial Narrow" w:cs="Arial"/>
                <w:szCs w:val="24"/>
                <w:lang w:val="es-ES"/>
              </w:rPr>
              <w:t xml:space="preserve"> requeridos</w:t>
            </w:r>
            <w:r w:rsidR="00D3741F">
              <w:rPr>
                <w:rFonts w:ascii="Arial Narrow" w:hAnsi="Arial Narrow" w:cs="Arial"/>
                <w:szCs w:val="24"/>
                <w:lang w:val="es-ES"/>
              </w:rPr>
              <w:t xml:space="preserve"> </w:t>
            </w:r>
            <w:r w:rsidR="00D3741F"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mediante correspondencia en físico o a través del correo </w:t>
            </w:r>
            <w:r w:rsidR="00D3741F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electrónico </w:t>
            </w:r>
            <w:r w:rsidR="00D3741F">
              <w:rPr>
                <w:rFonts w:ascii="Arial Narrow" w:eastAsiaTheme="minorEastAsia" w:hAnsi="Arial Narrow" w:cs="Arial"/>
                <w:szCs w:val="24"/>
                <w:lang w:val="es-ES"/>
              </w:rPr>
              <w:t>institucional</w:t>
            </w:r>
            <w:r w:rsidRPr="00A17056">
              <w:rPr>
                <w:rFonts w:ascii="Arial Narrow" w:hAnsi="Arial Narrow" w:cs="Arial"/>
                <w:szCs w:val="24"/>
                <w:lang w:val="es-ES"/>
              </w:rPr>
              <w:t xml:space="preserve">.   Si la entidad no presenta los ajustes solicitados dentro del mes </w:t>
            </w:r>
            <w:r w:rsidRPr="00A17056">
              <w:rPr>
                <w:rFonts w:ascii="Arial Narrow" w:hAnsi="Arial Narrow" w:cs="Arial"/>
                <w:szCs w:val="24"/>
                <w:lang w:val="es-ES"/>
              </w:rPr>
              <w:lastRenderedPageBreak/>
              <w:t>siguiente de recibir los comentarios, se entenderá que desiste de la solicitud, en los términos del artículo 17 del Código de Procedimiento Administrativo y de lo Contencioso Administrativo.</w:t>
            </w:r>
            <w:r>
              <w:rPr>
                <w:rFonts w:ascii="Arial Narrow" w:hAnsi="Arial Narrow" w:cs="Arial"/>
                <w:szCs w:val="24"/>
                <w:lang w:val="es-ES"/>
              </w:rPr>
              <w:t xml:space="preserve"> </w:t>
            </w:r>
            <w:r w:rsidRPr="00A17056">
              <w:rPr>
                <w:rFonts w:ascii="Arial Narrow" w:eastAsiaTheme="minorEastAsia" w:hAnsi="Arial Narrow" w:cs="Arial"/>
                <w:szCs w:val="24"/>
              </w:rPr>
              <w:t>Salvo que solicite prórroga antes de cumplirse el mes</w:t>
            </w:r>
            <w:r>
              <w:rPr>
                <w:rFonts w:ascii="Arial Narrow" w:eastAsiaTheme="minorEastAsia" w:hAnsi="Arial Narrow" w:cs="Arial"/>
                <w:szCs w:val="24"/>
              </w:rPr>
              <w:t>.</w:t>
            </w:r>
          </w:p>
          <w:p w:rsidR="007B333C" w:rsidRPr="00A17056" w:rsidRDefault="007B333C" w:rsidP="00032418">
            <w:pPr>
              <w:pStyle w:val="Prrafodelista"/>
              <w:ind w:left="360"/>
              <w:jc w:val="both"/>
              <w:rPr>
                <w:rFonts w:ascii="Arial Narrow" w:hAnsi="Arial Narrow" w:cs="Arial"/>
                <w:szCs w:val="24"/>
                <w:lang w:val="es-ES"/>
              </w:rPr>
            </w:pPr>
          </w:p>
        </w:tc>
      </w:tr>
      <w:tr w:rsidR="007B333C" w:rsidRPr="00A17056" w:rsidTr="00032418">
        <w:tc>
          <w:tcPr>
            <w:tcW w:w="4402" w:type="dxa"/>
          </w:tcPr>
          <w:p w:rsidR="007B333C" w:rsidRPr="00A17056" w:rsidRDefault="007B333C" w:rsidP="007B333C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eastAsiaTheme="minorEastAsia" w:hAnsi="Arial Narrow" w:cs="Arial"/>
                <w:szCs w:val="24"/>
                <w:lang w:val="es-ES"/>
              </w:rPr>
              <w:lastRenderedPageBreak/>
              <w:t>E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n 30 días </w:t>
            </w:r>
            <w:r w:rsidR="00D3741F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hábiles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Función Pública emite concepto.</w:t>
            </w:r>
          </w:p>
        </w:tc>
        <w:tc>
          <w:tcPr>
            <w:tcW w:w="4778" w:type="dxa"/>
          </w:tcPr>
          <w:p w:rsidR="007B333C" w:rsidRPr="00A17056" w:rsidRDefault="007B333C" w:rsidP="00D3741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Cs w:val="24"/>
                <w:lang w:val="es-ES"/>
              </w:rPr>
            </w:pP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>E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n 30 días</w:t>
            </w:r>
            <w:r w:rsidR="00D3741F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hábiles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Función Pública emite concepto</w:t>
            </w:r>
          </w:p>
        </w:tc>
      </w:tr>
      <w:tr w:rsidR="007B333C" w:rsidRPr="00E12BB6" w:rsidTr="00032418">
        <w:tc>
          <w:tcPr>
            <w:tcW w:w="4402" w:type="dxa"/>
          </w:tcPr>
          <w:p w:rsidR="007B333C" w:rsidRPr="00A17056" w:rsidRDefault="007B333C" w:rsidP="007B333C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Cs w:val="24"/>
              </w:rPr>
            </w:pP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En caso de ser aprobado, el administrador de trámites, de la entidad  finaliza su inscripción en el SUIT e incluye el acto administrativo definitivo.</w:t>
            </w:r>
          </w:p>
        </w:tc>
        <w:tc>
          <w:tcPr>
            <w:tcW w:w="4778" w:type="dxa"/>
          </w:tcPr>
          <w:p w:rsidR="007B333C" w:rsidRPr="00A17056" w:rsidRDefault="007B333C" w:rsidP="007B333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Cs w:val="24"/>
                <w:lang w:val="es-ES"/>
              </w:rPr>
            </w:pPr>
            <w:r w:rsidRPr="00A17056">
              <w:rPr>
                <w:rFonts w:ascii="Arial Narrow" w:eastAsiaTheme="minorEastAsia" w:hAnsi="Arial Narrow" w:cs="Arial"/>
                <w:szCs w:val="24"/>
              </w:rPr>
              <w:t xml:space="preserve">En caso de ser aprobado el cambio estructural,  el administrador de trámites de la entidad </w:t>
            </w:r>
            <w:r>
              <w:rPr>
                <w:rFonts w:ascii="Arial Narrow" w:eastAsiaTheme="minorEastAsia" w:hAnsi="Arial Narrow" w:cs="Arial"/>
                <w:szCs w:val="24"/>
              </w:rPr>
              <w:t>deberá</w:t>
            </w:r>
            <w:r w:rsidRPr="00A17056">
              <w:rPr>
                <w:rFonts w:ascii="Arial Narrow" w:eastAsiaTheme="minorEastAsia" w:hAnsi="Arial Narrow" w:cs="Arial"/>
                <w:szCs w:val="24"/>
              </w:rPr>
              <w:t xml:space="preserve"> actualiza</w:t>
            </w:r>
            <w:r>
              <w:rPr>
                <w:rFonts w:ascii="Arial Narrow" w:eastAsiaTheme="minorEastAsia" w:hAnsi="Arial Narrow" w:cs="Arial"/>
                <w:szCs w:val="24"/>
              </w:rPr>
              <w:t>r y</w:t>
            </w:r>
            <w:r w:rsidRPr="00A17056">
              <w:rPr>
                <w:rFonts w:ascii="Arial Narrow" w:eastAsiaTheme="minorEastAsia" w:hAnsi="Arial Narrow" w:cs="Arial"/>
                <w:szCs w:val="24"/>
              </w:rPr>
              <w:t xml:space="preserve"> 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complementa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>r</w:t>
            </w:r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la información de la modificación en SUIT, e </w:t>
            </w:r>
            <w:proofErr w:type="spellStart"/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>inclu</w:t>
            </w:r>
            <w:r>
              <w:rPr>
                <w:rFonts w:ascii="Arial Narrow" w:eastAsiaTheme="minorEastAsia" w:hAnsi="Arial Narrow" w:cs="Arial"/>
                <w:szCs w:val="24"/>
                <w:lang w:val="es-ES"/>
              </w:rPr>
              <w:t>í</w:t>
            </w:r>
            <w:r w:rsidR="00D3741F">
              <w:rPr>
                <w:rFonts w:ascii="Arial Narrow" w:eastAsiaTheme="minorEastAsia" w:hAnsi="Arial Narrow" w:cs="Arial"/>
                <w:szCs w:val="24"/>
                <w:lang w:val="es-ES"/>
              </w:rPr>
              <w:t>r</w:t>
            </w:r>
            <w:proofErr w:type="spellEnd"/>
            <w:r w:rsidRPr="00A17056">
              <w:rPr>
                <w:rFonts w:ascii="Arial Narrow" w:eastAsiaTheme="minorEastAsia" w:hAnsi="Arial Narrow" w:cs="Arial"/>
                <w:szCs w:val="24"/>
                <w:lang w:val="es-ES"/>
              </w:rPr>
              <w:t xml:space="preserve"> el acto administrativo definitivo.</w:t>
            </w:r>
          </w:p>
        </w:tc>
      </w:tr>
    </w:tbl>
    <w:p w:rsidR="007B333C" w:rsidRDefault="007B333C" w:rsidP="007B333C">
      <w:pPr>
        <w:jc w:val="center"/>
        <w:rPr>
          <w:rFonts w:ascii="Arial Narrow" w:hAnsi="Arial Narrow" w:cs="Arial"/>
          <w:sz w:val="22"/>
          <w:szCs w:val="24"/>
        </w:rPr>
      </w:pPr>
      <w:r w:rsidRPr="00C26502">
        <w:rPr>
          <w:rFonts w:ascii="Arial Narrow" w:hAnsi="Arial Narrow" w:cs="Arial"/>
          <w:sz w:val="22"/>
          <w:szCs w:val="24"/>
        </w:rPr>
        <w:t>Fuente: Función Pública 2019 con base en la Resolución 1099 de 2017</w:t>
      </w:r>
      <w:bookmarkStart w:id="1" w:name="_GoBack"/>
      <w:bookmarkEnd w:id="1"/>
    </w:p>
    <w:sectPr w:rsidR="007B33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833"/>
    <w:multiLevelType w:val="multilevel"/>
    <w:tmpl w:val="C71AA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E5C6BF3"/>
    <w:multiLevelType w:val="hybridMultilevel"/>
    <w:tmpl w:val="C82257CE"/>
    <w:lvl w:ilvl="0" w:tplc="240A000F">
      <w:start w:val="1"/>
      <w:numFmt w:val="decimal"/>
      <w:lvlText w:val="%1."/>
      <w:lvlJc w:val="left"/>
      <w:pPr>
        <w:ind w:left="928" w:hanging="360"/>
      </w:pPr>
    </w:lvl>
    <w:lvl w:ilvl="1" w:tplc="F3D600DA">
      <w:numFmt w:val="bullet"/>
      <w:lvlText w:val="•"/>
      <w:lvlJc w:val="left"/>
      <w:pPr>
        <w:ind w:left="1440" w:hanging="360"/>
      </w:pPr>
      <w:rPr>
        <w:rFonts w:ascii="Arial Narrow" w:eastAsia="Times" w:hAnsi="Arial Narrow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0593F"/>
    <w:multiLevelType w:val="hybridMultilevel"/>
    <w:tmpl w:val="352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72067"/>
    <w:multiLevelType w:val="hybridMultilevel"/>
    <w:tmpl w:val="771010E2"/>
    <w:lvl w:ilvl="0" w:tplc="00E0E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D600DA">
      <w:numFmt w:val="bullet"/>
      <w:lvlText w:val="•"/>
      <w:lvlJc w:val="left"/>
      <w:pPr>
        <w:ind w:left="1080" w:hanging="360"/>
      </w:pPr>
      <w:rPr>
        <w:rFonts w:ascii="Arial Narrow" w:eastAsia="Times" w:hAnsi="Arial Narrow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1C5980"/>
    <w:multiLevelType w:val="multilevel"/>
    <w:tmpl w:val="E1EE218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3C"/>
    <w:rsid w:val="001169A9"/>
    <w:rsid w:val="001334AD"/>
    <w:rsid w:val="002A1FEE"/>
    <w:rsid w:val="00301079"/>
    <w:rsid w:val="00497462"/>
    <w:rsid w:val="0079285C"/>
    <w:rsid w:val="007B333C"/>
    <w:rsid w:val="00921D33"/>
    <w:rsid w:val="00AB20E8"/>
    <w:rsid w:val="00D3741F"/>
    <w:rsid w:val="00E91CBA"/>
    <w:rsid w:val="00F7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3C"/>
    <w:pPr>
      <w:spacing w:after="0" w:line="240" w:lineRule="auto"/>
    </w:pPr>
    <w:rPr>
      <w:rFonts w:ascii="Times" w:eastAsia="Times" w:hAnsi="Times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333C"/>
    <w:pPr>
      <w:keepNext/>
      <w:numPr>
        <w:numId w:val="2"/>
      </w:numPr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7B333C"/>
    <w:pPr>
      <w:keepNext/>
      <w:numPr>
        <w:ilvl w:val="1"/>
        <w:numId w:val="2"/>
      </w:numPr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link w:val="Ttulo3Car"/>
    <w:uiPriority w:val="9"/>
    <w:qFormat/>
    <w:rsid w:val="007B333C"/>
    <w:pPr>
      <w:keepNext/>
      <w:numPr>
        <w:ilvl w:val="2"/>
        <w:numId w:val="2"/>
      </w:numPr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"/>
    <w:qFormat/>
    <w:rsid w:val="007B333C"/>
    <w:pPr>
      <w:keepNext/>
      <w:numPr>
        <w:ilvl w:val="3"/>
        <w:numId w:val="2"/>
      </w:numPr>
      <w:outlineLvl w:val="3"/>
    </w:pPr>
    <w:rPr>
      <w:rFonts w:ascii="Arial" w:hAnsi="Arial"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B333C"/>
    <w:pPr>
      <w:keepNext/>
      <w:keepLines/>
      <w:numPr>
        <w:ilvl w:val="4"/>
        <w:numId w:val="2"/>
      </w:numPr>
      <w:spacing w:before="40" w:line="259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B333C"/>
    <w:pPr>
      <w:keepNext/>
      <w:keepLines/>
      <w:numPr>
        <w:ilvl w:val="5"/>
        <w:numId w:val="2"/>
      </w:numPr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B333C"/>
    <w:pPr>
      <w:keepNext/>
      <w:keepLines/>
      <w:numPr>
        <w:ilvl w:val="6"/>
        <w:numId w:val="2"/>
      </w:numPr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B333C"/>
    <w:pPr>
      <w:keepNext/>
      <w:keepLines/>
      <w:numPr>
        <w:ilvl w:val="7"/>
        <w:numId w:val="2"/>
      </w:numPr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333C"/>
    <w:pPr>
      <w:keepNext/>
      <w:keepLines/>
      <w:numPr>
        <w:ilvl w:val="8"/>
        <w:numId w:val="2"/>
      </w:numPr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333C"/>
    <w:rPr>
      <w:rFonts w:ascii="Arial" w:eastAsia="Times" w:hAnsi="Arial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B333C"/>
    <w:rPr>
      <w:rFonts w:ascii="Arial" w:eastAsia="Times" w:hAnsi="Arial" w:cs="Arial"/>
      <w:b/>
      <w:bCs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B333C"/>
    <w:rPr>
      <w:rFonts w:ascii="Arial" w:eastAsia="Times" w:hAnsi="Arial" w:cs="Arial"/>
      <w:b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7B333C"/>
    <w:rPr>
      <w:rFonts w:ascii="Arial" w:eastAsia="Times" w:hAnsi="Arial" w:cs="Arial"/>
      <w:b/>
      <w:bCs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7B333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7B33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7B33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7B33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33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rsid w:val="007B3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7B333C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7B333C"/>
    <w:rPr>
      <w:rFonts w:ascii="Times" w:eastAsia="Times" w:hAnsi="Times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B33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333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333C"/>
    <w:rPr>
      <w:rFonts w:ascii="Times" w:eastAsia="Times" w:hAnsi="Times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33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33C"/>
    <w:rPr>
      <w:rFonts w:ascii="Tahoma" w:eastAsia="Times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3C"/>
    <w:pPr>
      <w:spacing w:after="0" w:line="240" w:lineRule="auto"/>
    </w:pPr>
    <w:rPr>
      <w:rFonts w:ascii="Times" w:eastAsia="Times" w:hAnsi="Times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333C"/>
    <w:pPr>
      <w:keepNext/>
      <w:numPr>
        <w:numId w:val="2"/>
      </w:numPr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7B333C"/>
    <w:pPr>
      <w:keepNext/>
      <w:numPr>
        <w:ilvl w:val="1"/>
        <w:numId w:val="2"/>
      </w:numPr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link w:val="Ttulo3Car"/>
    <w:uiPriority w:val="9"/>
    <w:qFormat/>
    <w:rsid w:val="007B333C"/>
    <w:pPr>
      <w:keepNext/>
      <w:numPr>
        <w:ilvl w:val="2"/>
        <w:numId w:val="2"/>
      </w:numPr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"/>
    <w:qFormat/>
    <w:rsid w:val="007B333C"/>
    <w:pPr>
      <w:keepNext/>
      <w:numPr>
        <w:ilvl w:val="3"/>
        <w:numId w:val="2"/>
      </w:numPr>
      <w:outlineLvl w:val="3"/>
    </w:pPr>
    <w:rPr>
      <w:rFonts w:ascii="Arial" w:hAnsi="Arial"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B333C"/>
    <w:pPr>
      <w:keepNext/>
      <w:keepLines/>
      <w:numPr>
        <w:ilvl w:val="4"/>
        <w:numId w:val="2"/>
      </w:numPr>
      <w:spacing w:before="40" w:line="259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B333C"/>
    <w:pPr>
      <w:keepNext/>
      <w:keepLines/>
      <w:numPr>
        <w:ilvl w:val="5"/>
        <w:numId w:val="2"/>
      </w:numPr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B333C"/>
    <w:pPr>
      <w:keepNext/>
      <w:keepLines/>
      <w:numPr>
        <w:ilvl w:val="6"/>
        <w:numId w:val="2"/>
      </w:numPr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B333C"/>
    <w:pPr>
      <w:keepNext/>
      <w:keepLines/>
      <w:numPr>
        <w:ilvl w:val="7"/>
        <w:numId w:val="2"/>
      </w:numPr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333C"/>
    <w:pPr>
      <w:keepNext/>
      <w:keepLines/>
      <w:numPr>
        <w:ilvl w:val="8"/>
        <w:numId w:val="2"/>
      </w:numPr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333C"/>
    <w:rPr>
      <w:rFonts w:ascii="Arial" w:eastAsia="Times" w:hAnsi="Arial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B333C"/>
    <w:rPr>
      <w:rFonts w:ascii="Arial" w:eastAsia="Times" w:hAnsi="Arial" w:cs="Arial"/>
      <w:b/>
      <w:bCs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B333C"/>
    <w:rPr>
      <w:rFonts w:ascii="Arial" w:eastAsia="Times" w:hAnsi="Arial" w:cs="Arial"/>
      <w:b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7B333C"/>
    <w:rPr>
      <w:rFonts w:ascii="Arial" w:eastAsia="Times" w:hAnsi="Arial" w:cs="Arial"/>
      <w:b/>
      <w:bCs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7B333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7B33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7B33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7B33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33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rsid w:val="007B3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7B333C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7B333C"/>
    <w:rPr>
      <w:rFonts w:ascii="Times" w:eastAsia="Times" w:hAnsi="Times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B33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333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333C"/>
    <w:rPr>
      <w:rFonts w:ascii="Times" w:eastAsia="Times" w:hAnsi="Times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33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33C"/>
    <w:rPr>
      <w:rFonts w:ascii="Tahoma" w:eastAsia="Times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1008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Yanuba Quiñones</dc:creator>
  <cp:lastModifiedBy>Elsa Yanuba Quiñones</cp:lastModifiedBy>
  <cp:revision>8</cp:revision>
  <dcterms:created xsi:type="dcterms:W3CDTF">2019-03-29T19:58:00Z</dcterms:created>
  <dcterms:modified xsi:type="dcterms:W3CDTF">2019-04-01T19:57:00Z</dcterms:modified>
</cp:coreProperties>
</file>