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BE" w:rsidRPr="00057166" w:rsidRDefault="00FA37BE" w:rsidP="00FA37BE">
      <w:pPr>
        <w:pStyle w:val="Ttulo2"/>
        <w:jc w:val="both"/>
      </w:pPr>
      <w:bookmarkStart w:id="0" w:name="_Toc504664313"/>
      <w:bookmarkStart w:id="1" w:name="_Toc504664409"/>
      <w:r w:rsidRPr="00057166">
        <w:t>FUSIÓN DE ENTIDADES</w:t>
      </w:r>
      <w:r>
        <w:t xml:space="preserve"> </w:t>
      </w:r>
      <w:bookmarkStart w:id="2" w:name="_GoBack"/>
      <w:bookmarkEnd w:id="0"/>
      <w:bookmarkEnd w:id="1"/>
      <w:bookmarkEnd w:id="2"/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ORDENANZA – ACUERDO – DECRETO No.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______ DE _______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(</w:t>
      </w:r>
      <w:r>
        <w:rPr>
          <w:rFonts w:ascii="Arial" w:hAnsi="Arial" w:cs="Arial"/>
          <w:bCs/>
          <w:color w:val="000000"/>
          <w:sz w:val="24"/>
          <w:szCs w:val="24"/>
        </w:rPr>
        <w:t>FECHA DE LA ORDENANZA-ACUERDO-DECRETO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Por el cual se fusiona (citar la entidad o entidad(es) absorbida (s)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en la (citar la entidad absorben</w:t>
      </w:r>
      <w:r>
        <w:rPr>
          <w:rFonts w:ascii="Arial" w:hAnsi="Arial" w:cs="Arial"/>
          <w:bCs/>
          <w:color w:val="000000"/>
          <w:sz w:val="24"/>
          <w:szCs w:val="24"/>
        </w:rPr>
        <w:t>te) y se modifica su estructura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EL PRESIDENTE DE LA REPÚBLICA DE COLOMBIA,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en ejercicio de sus facultades constitucionales y legales en especial las señaladas en </w:t>
      </w:r>
      <w:r>
        <w:rPr>
          <w:rFonts w:ascii="Arial" w:hAnsi="Arial" w:cs="Arial"/>
          <w:bCs/>
          <w:color w:val="000000"/>
          <w:sz w:val="24"/>
          <w:szCs w:val="24"/>
        </w:rPr>
        <w:t>el numeral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15 del artículo 189 de la </w:t>
      </w:r>
      <w:hyperlink r:id="rId7" w:history="1">
        <w:r w:rsidRPr="00F77815">
          <w:rPr>
            <w:rStyle w:val="Hipervnculo"/>
            <w:rFonts w:ascii="Arial" w:hAnsi="Arial" w:cs="Arial"/>
            <w:bCs/>
            <w:sz w:val="24"/>
            <w:szCs w:val="24"/>
          </w:rPr>
          <w:t>Constitución Política</w:t>
        </w:r>
      </w:hyperlink>
      <w:r w:rsidRPr="00057166">
        <w:rPr>
          <w:rFonts w:ascii="Arial" w:hAnsi="Arial" w:cs="Arial"/>
          <w:bCs/>
          <w:color w:val="000000"/>
          <w:sz w:val="24"/>
          <w:szCs w:val="24"/>
        </w:rPr>
        <w:t>, en especial las que le confiere el artículo (____) del (norma que los faculta)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LA ASAMBLEA DEPARTAMENTAL DE (Nombre del Departamento)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057166">
        <w:rPr>
          <w:rFonts w:ascii="Arial" w:hAnsi="Arial" w:cs="Arial"/>
          <w:bCs/>
          <w:color w:val="000000"/>
          <w:sz w:val="24"/>
          <w:szCs w:val="24"/>
        </w:rPr>
        <w:t>en</w:t>
      </w:r>
      <w:proofErr w:type="gramEnd"/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ejercicio de sus facultades con</w:t>
      </w:r>
      <w:r>
        <w:rPr>
          <w:rFonts w:ascii="Arial" w:hAnsi="Arial" w:cs="Arial"/>
          <w:bCs/>
          <w:color w:val="000000"/>
          <w:sz w:val="24"/>
          <w:szCs w:val="24"/>
        </w:rPr>
        <w:t>stitucionales y legales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, en especial las que le confiere el artículo (____) del (norma que los faculta)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EL CONCEJO MUNICIPAL DE (Nombre del Municipio)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057166">
        <w:rPr>
          <w:rFonts w:ascii="Arial" w:hAnsi="Arial" w:cs="Arial"/>
          <w:bCs/>
          <w:color w:val="000000"/>
          <w:sz w:val="24"/>
          <w:szCs w:val="24"/>
        </w:rPr>
        <w:t>en</w:t>
      </w:r>
      <w:proofErr w:type="gramEnd"/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ejercicio de sus facultades constitucionales y legales, en especial las que le confiere el artículo (____) del (norma que los faculta)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FA37BE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CONSIDERANDO: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(Ajustar para las entidades territoriales las referencias normativas y las correspondientes autoridades en los siguientes considerandos)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Que el numeral 15 del artículo 189 de la </w:t>
      </w:r>
      <w:hyperlink r:id="rId8" w:history="1">
        <w:r w:rsidRPr="00F77815">
          <w:rPr>
            <w:rStyle w:val="Hipervnculo"/>
            <w:rFonts w:ascii="Arial" w:hAnsi="Arial" w:cs="Arial"/>
            <w:bCs/>
            <w:sz w:val="24"/>
            <w:szCs w:val="24"/>
          </w:rPr>
          <w:t>Constitución Política</w:t>
        </w:r>
      </w:hyperlink>
      <w:r w:rsidRPr="00057166">
        <w:rPr>
          <w:rFonts w:ascii="Arial" w:hAnsi="Arial" w:cs="Arial"/>
          <w:bCs/>
          <w:color w:val="000000"/>
          <w:sz w:val="24"/>
          <w:szCs w:val="24"/>
        </w:rPr>
        <w:t>, establece que corresponde al Presidente de la República como suprema autoridad administrativa fusionar entidades u organismos administrativos nacionales de conformidad con la ley (ajustar para el caso territorial).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Que el numeral 16 del artículo 189 de la </w:t>
      </w:r>
      <w:hyperlink r:id="rId9" w:history="1">
        <w:r w:rsidRPr="00F77815">
          <w:rPr>
            <w:rStyle w:val="Hipervnculo"/>
            <w:rFonts w:ascii="Arial" w:hAnsi="Arial" w:cs="Arial"/>
            <w:bCs/>
            <w:sz w:val="24"/>
            <w:szCs w:val="24"/>
          </w:rPr>
          <w:t>Constitución Política</w:t>
        </w:r>
      </w:hyperlink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Cs/>
          <w:color w:val="000000"/>
          <w:sz w:val="24"/>
          <w:szCs w:val="24"/>
        </w:rPr>
        <w:t>ordena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que corresponde al Presidente de la República como suprema autoridad administrativa modificar la estructura de los ministerios, departamentos administrativos y demás organismos administrativos nacionales, con sujeción a los principios y reglas generales que defina la ley. (Ajustar para el caso territorial). </w:t>
      </w:r>
    </w:p>
    <w:p w:rsidR="00FA37BE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Que la </w:t>
      </w:r>
      <w:bookmarkStart w:id="3" w:name="_Hlk505261273"/>
      <w:r>
        <w:rPr>
          <w:rFonts w:ascii="Arial" w:hAnsi="Arial" w:cs="Arial"/>
          <w:bCs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Cs/>
          <w:color w:val="000000"/>
          <w:sz w:val="24"/>
          <w:szCs w:val="24"/>
        </w:rPr>
        <w:instrText xml:space="preserve"> HYPERLINK "http://www.funcionpublica.gov.co/sisjur/home/Norma1.jsp?i=6675" </w:instrText>
      </w:r>
      <w:r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Pr="00F77815">
        <w:rPr>
          <w:rStyle w:val="Hipervnculo"/>
          <w:rFonts w:ascii="Arial" w:hAnsi="Arial" w:cs="Arial"/>
          <w:bCs/>
          <w:sz w:val="24"/>
          <w:szCs w:val="24"/>
        </w:rPr>
        <w:t>Ley 790 de 2002</w:t>
      </w:r>
      <w:r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bookmarkEnd w:id="3"/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en el artículo 2 señaló que el Presidente de la República podrá disponer la fusión de entidades u organismos administrativos del orden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lastRenderedPageBreak/>
        <w:t>nacional, con objetos afines, creados, organizados o autorizados por la ley, teniendo en cuenta los criterios allí previstos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(Ajustar para el caso territorial</w:t>
      </w:r>
      <w:r>
        <w:rPr>
          <w:rFonts w:ascii="Arial" w:hAnsi="Arial" w:cs="Arial"/>
          <w:bCs/>
          <w:color w:val="000000"/>
          <w:sz w:val="24"/>
          <w:szCs w:val="24"/>
        </w:rPr>
        <w:t>)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FA37BE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Que de acuerdo con el estudio técnico adelantado se concluyó que </w:t>
      </w:r>
      <w:r>
        <w:rPr>
          <w:rFonts w:ascii="Arial" w:hAnsi="Arial" w:cs="Arial"/>
          <w:bCs/>
          <w:color w:val="000000"/>
          <w:sz w:val="24"/>
          <w:szCs w:val="24"/>
        </w:rPr>
        <w:t>la (</w:t>
      </w:r>
      <w:r w:rsidR="009C7A38">
        <w:rPr>
          <w:rFonts w:ascii="Arial" w:hAnsi="Arial" w:cs="Arial"/>
          <w:bCs/>
          <w:color w:val="000000"/>
          <w:sz w:val="24"/>
          <w:szCs w:val="24"/>
        </w:rPr>
        <w:t>entidad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absorbente) cuenta con la capacidad jurídica, técnica y operativa para desarrollar los objetivos y las funciones de (entidad fusionada), en los términos del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artículo 2º de la </w:t>
      </w:r>
      <w:hyperlink r:id="rId10" w:history="1">
        <w:r w:rsidRPr="00F77815">
          <w:rPr>
            <w:rStyle w:val="Hipervnculo"/>
            <w:rFonts w:ascii="Arial" w:hAnsi="Arial" w:cs="Arial"/>
            <w:bCs/>
            <w:sz w:val="24"/>
            <w:szCs w:val="24"/>
          </w:rPr>
          <w:t>Ley 790 de 2002</w:t>
        </w:r>
      </w:hyperlink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(Se debe presentar al menos una de las causales del artículo 2 de la </w:t>
      </w:r>
      <w:hyperlink r:id="rId11" w:history="1">
        <w:r w:rsidRPr="00F77815">
          <w:rPr>
            <w:rStyle w:val="Hipervnculo"/>
            <w:rFonts w:ascii="Arial" w:hAnsi="Arial" w:cs="Arial"/>
            <w:bCs/>
            <w:sz w:val="24"/>
            <w:szCs w:val="24"/>
          </w:rPr>
          <w:t>Ley 790 de 2002</w:t>
        </w:r>
      </w:hyperlink>
      <w:r>
        <w:rPr>
          <w:rFonts w:ascii="Arial" w:hAnsi="Arial" w:cs="Arial"/>
          <w:bCs/>
          <w:color w:val="000000"/>
          <w:sz w:val="24"/>
          <w:szCs w:val="24"/>
        </w:rPr>
        <w:t xml:space="preserve"> - Incluir la causal que aplique).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(</w:t>
      </w:r>
      <w:r>
        <w:rPr>
          <w:rFonts w:ascii="Arial" w:hAnsi="Arial" w:cs="Arial"/>
          <w:bCs/>
          <w:color w:val="000000"/>
          <w:sz w:val="24"/>
          <w:szCs w:val="24"/>
        </w:rPr>
        <w:t>A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justar a las causales establecidas por ordenanza o acuerdo).</w:t>
      </w:r>
    </w:p>
    <w:p w:rsidR="00FA37BE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Que el parágrafo primero del artículo 2º de la </w:t>
      </w:r>
      <w:hyperlink r:id="rId12" w:history="1">
        <w:r w:rsidRPr="00F77815">
          <w:rPr>
            <w:rStyle w:val="Hipervnculo"/>
            <w:rFonts w:ascii="Arial" w:hAnsi="Arial" w:cs="Arial"/>
            <w:bCs/>
            <w:sz w:val="24"/>
            <w:szCs w:val="24"/>
          </w:rPr>
          <w:t>Ley 790 de 2002</w:t>
        </w:r>
      </w:hyperlink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dispone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que al ordenarse una fusión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el Presidente de la República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deberá armonizar los elementos de la estructura de la entidad resultante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con el objeto de hacer eficiente su funcionamiento. (</w:t>
      </w:r>
      <w:r>
        <w:rPr>
          <w:rFonts w:ascii="Arial" w:hAnsi="Arial" w:cs="Arial"/>
          <w:bCs/>
          <w:color w:val="000000"/>
          <w:sz w:val="24"/>
          <w:szCs w:val="24"/>
        </w:rPr>
        <w:t>A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justar para el caso territorial).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DECRETA: </w:t>
      </w:r>
    </w:p>
    <w:p w:rsidR="00FA37BE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Pr="00C52C4D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CAPÍTULO1</w:t>
      </w:r>
    </w:p>
    <w:p w:rsidR="00FA37BE" w:rsidRPr="00C52C4D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Disposiciones Generales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FA37BE" w:rsidRPr="00C52C4D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Artículo __.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Fusión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y denominación.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A039D">
        <w:rPr>
          <w:rFonts w:ascii="Arial" w:hAnsi="Arial" w:cs="Arial"/>
          <w:bCs/>
          <w:color w:val="000000"/>
          <w:sz w:val="24"/>
          <w:szCs w:val="24"/>
        </w:rPr>
        <w:t>Fusi</w:t>
      </w:r>
      <w:r>
        <w:rPr>
          <w:rFonts w:ascii="Arial" w:hAnsi="Arial" w:cs="Arial"/>
          <w:bCs/>
          <w:color w:val="000000"/>
          <w:sz w:val="24"/>
          <w:szCs w:val="24"/>
        </w:rPr>
        <w:t>onar</w:t>
      </w:r>
      <w:r w:rsidRPr="00AA039D">
        <w:rPr>
          <w:rFonts w:ascii="Arial" w:hAnsi="Arial" w:cs="Arial"/>
          <w:bCs/>
          <w:color w:val="000000"/>
          <w:sz w:val="24"/>
          <w:szCs w:val="24"/>
        </w:rPr>
        <w:t xml:space="preserve"> la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FA37BE" w:rsidRPr="00C52C4D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Artículo __.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Naturaleza Jurídica.</w:t>
      </w:r>
    </w:p>
    <w:p w:rsidR="00FA37BE" w:rsidRPr="00C52C4D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Artículo __.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Dirección.</w:t>
      </w:r>
    </w:p>
    <w:p w:rsidR="00FA37BE" w:rsidRPr="00C52C4D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Artículo __.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Domicilio.</w:t>
      </w:r>
    </w:p>
    <w:p w:rsidR="00FA37BE" w:rsidRPr="00C52C4D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Artículo __.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Ingresos.</w:t>
      </w:r>
    </w:p>
    <w:p w:rsidR="00FA37BE" w:rsidRPr="00C52C4D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Artículo __.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Patrimonio.</w:t>
      </w:r>
    </w:p>
    <w:p w:rsidR="00FA37BE" w:rsidRPr="007E703B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7E703B">
        <w:rPr>
          <w:rFonts w:ascii="Arial" w:hAnsi="Arial" w:cs="Arial"/>
          <w:b/>
          <w:bCs/>
          <w:color w:val="000000"/>
          <w:sz w:val="24"/>
          <w:szCs w:val="24"/>
        </w:rPr>
        <w:t xml:space="preserve">Artículo __. </w:t>
      </w:r>
      <w:r w:rsidRPr="007E703B">
        <w:rPr>
          <w:rFonts w:ascii="Arial" w:hAnsi="Arial" w:cs="Arial"/>
          <w:b/>
          <w:bCs/>
          <w:i/>
          <w:color w:val="000000"/>
          <w:sz w:val="24"/>
          <w:szCs w:val="24"/>
        </w:rPr>
        <w:t>Objeto.</w:t>
      </w:r>
    </w:p>
    <w:p w:rsidR="00FA37BE" w:rsidRPr="007E703B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7E703B">
        <w:rPr>
          <w:rFonts w:ascii="Arial" w:hAnsi="Arial" w:cs="Arial"/>
          <w:b/>
          <w:bCs/>
          <w:color w:val="000000"/>
          <w:sz w:val="24"/>
          <w:szCs w:val="24"/>
        </w:rPr>
        <w:t xml:space="preserve">Artículo __. </w:t>
      </w:r>
      <w:r w:rsidRPr="007E703B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Funciones </w:t>
      </w:r>
      <w:proofErr w:type="gramStart"/>
      <w:r>
        <w:rPr>
          <w:rFonts w:ascii="Arial" w:hAnsi="Arial" w:cs="Arial"/>
          <w:b/>
          <w:bCs/>
          <w:i/>
          <w:color w:val="000000"/>
          <w:sz w:val="24"/>
          <w:szCs w:val="24"/>
        </w:rPr>
        <w:t>g</w:t>
      </w:r>
      <w:r w:rsidRPr="007E703B">
        <w:rPr>
          <w:rFonts w:ascii="Arial" w:hAnsi="Arial" w:cs="Arial"/>
          <w:b/>
          <w:bCs/>
          <w:i/>
          <w:color w:val="000000"/>
          <w:sz w:val="24"/>
          <w:szCs w:val="24"/>
        </w:rPr>
        <w:t>enerales</w:t>
      </w:r>
      <w:proofErr w:type="gramEnd"/>
      <w:r w:rsidRPr="007E703B">
        <w:rPr>
          <w:rFonts w:ascii="Arial" w:hAnsi="Arial" w:cs="Arial"/>
          <w:b/>
          <w:bCs/>
          <w:i/>
          <w:color w:val="000000"/>
          <w:sz w:val="24"/>
          <w:szCs w:val="24"/>
        </w:rPr>
        <w:t>.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(Ajustar si es una entidad del sector central)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Pr="00C52C4D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CAPÍTULO 2</w:t>
      </w:r>
    </w:p>
    <w:p w:rsidR="00FA37BE" w:rsidRPr="00C52C4D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C4901">
        <w:rPr>
          <w:rFonts w:ascii="Arial" w:hAnsi="Arial" w:cs="Arial"/>
          <w:b/>
          <w:bCs/>
          <w:color w:val="000000"/>
          <w:sz w:val="24"/>
          <w:szCs w:val="24"/>
        </w:rPr>
        <w:t>Estructura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 y funciones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FA37BE" w:rsidRPr="00C52C4D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527FF9">
        <w:rPr>
          <w:rFonts w:ascii="Arial" w:hAnsi="Arial" w:cs="Arial"/>
          <w:b/>
          <w:bCs/>
          <w:color w:val="000000"/>
          <w:sz w:val="24"/>
          <w:szCs w:val="24"/>
        </w:rPr>
        <w:t xml:space="preserve">Artículo __.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Estructura de (Nombre de la Entidad)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.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Artículo __.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Despacho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del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(citar la Dependencia).</w:t>
      </w:r>
      <w:r w:rsidRPr="00C52C4D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Son funciones del Despacho...: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Pr="00C52C4D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CAPÍTULO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p w:rsidR="00FA37BE" w:rsidRPr="00C52C4D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C4901">
        <w:rPr>
          <w:rFonts w:ascii="Arial" w:hAnsi="Arial" w:cs="Arial"/>
          <w:b/>
          <w:bCs/>
          <w:color w:val="000000"/>
          <w:sz w:val="24"/>
          <w:szCs w:val="24"/>
        </w:rPr>
        <w:t>Disposiciones Laborales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Artículo __.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Adopción de la nueva planta de personal.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De conformidad con la estructura prevista por el presente decreto, el Gobierno Nacional (o la autoridad competente) procederá a adoptar la nueva planta de personal.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Artículo __.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Atribuciones de los funcionarios de las plantas actuales.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Los funcionarios de la planta de personal actual de la (citar las entidades fusionadas), continuarán ejerciendo las atribuciones a ellos asignadas y percibiendo la misma remuneración, hasta tanto sean incorporados a la planta de personal adoptada de conformidad con lo dispuesto en el artículo anterior.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Artículo __.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Régimen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Laboral.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El régimen laboral de los servidores (de la entidad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absorbente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), será el de los empleados públicos de la rama ejecutiva del poder público del orden nacional y tendrán el régimen especial de carrera administrativa que señale la ley.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Pr="00C52C4D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CAPÍTULO 4 </w:t>
      </w:r>
    </w:p>
    <w:p w:rsidR="00FA37BE" w:rsidRPr="00C52C4D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C4901">
        <w:rPr>
          <w:rFonts w:ascii="Arial" w:hAnsi="Arial" w:cs="Arial"/>
          <w:b/>
          <w:bCs/>
          <w:color w:val="000000"/>
          <w:sz w:val="24"/>
          <w:szCs w:val="24"/>
        </w:rPr>
        <w:t>Disposiciones Finales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Artículo __.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Contratos vigentes.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Los contratos y convenios actualmente vigentes celebrados por las entidades fusionadas, se entienden subrogados en la (citar el nombre de la entidad absorbente), la cual continuará con su ejecución y cumplimiento sin que para ello sea necesario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la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suscripción de documento adicional alguno. </w:t>
      </w:r>
    </w:p>
    <w:p w:rsidR="00FA37BE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La documentación relacionada con cada uno de dichos contratos y convenios deberá allegarse, debidamente foliada y relacionada, a la (dependencia respectiva), en un plazo no mayor de 30 días hábiles, contados a partir de la publicación del decreto que adopte la planta de personal.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Artículo __.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Transferencia de bienes, derechos y obligaciones.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Los bienes, derechos y obligaciones de la (citar entidad absorbida) serán transferidos a la entidad absorbente).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Artículo __.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Obligaciones especiales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de los empleados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de manejo y confianza y los responsables de los archivos de las entidades fusionadas.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Los empleados que desempeñen empleos o cargos de manejo y confianza, los responsables de los archivos de las entidades fusionadas deberán rendir las correspondientes cuentas fiscales e inventarios y efectuar la entrega de los bienes y archivos a su cargo, conforme a las normas y procedimientos establecidos por la Contraloría General de la República, la Contaduría General de la Nación y el Archivo General de la Nación, sin que ello implique exoneración de la responsabilidad a que haya lugar en caso de irregularidades. (</w:t>
      </w:r>
      <w:proofErr w:type="gramStart"/>
      <w:r w:rsidRPr="00057166">
        <w:rPr>
          <w:rFonts w:ascii="Arial" w:hAnsi="Arial" w:cs="Arial"/>
          <w:bCs/>
          <w:color w:val="000000"/>
          <w:sz w:val="24"/>
          <w:szCs w:val="24"/>
        </w:rPr>
        <w:t>citar</w:t>
      </w:r>
      <w:proofErr w:type="gramEnd"/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entes de </w:t>
      </w:r>
      <w:r w:rsidR="009C7A38">
        <w:rPr>
          <w:rFonts w:ascii="Arial" w:hAnsi="Arial" w:cs="Arial"/>
          <w:bCs/>
          <w:color w:val="000000"/>
          <w:sz w:val="24"/>
          <w:szCs w:val="24"/>
        </w:rPr>
        <w:t>c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ontrol territoriales si es del caso).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Artículo __.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Deber de colaboración.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Los funcionarios de las entidades fusionadas, deberán colaborar eficientemente en las actividades necesarias para la ejecución de los mandatos aquí enunciados y para que el proceso de fusión se lleve a cabo en adecuadas condiciones de coordinación, eficiencia, eficacia y celeridad.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Artículo __.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Referencias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normativas.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A partir de la entrada en vigencia del presente decreto, todas las referencias que hagan las disposiciones legales vigentes a la (entidad absorbida) se entenderán efectuadas a la (entidad absorbente).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Artículo __.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Vigencia y Derogatorias.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El presente (</w:t>
      </w:r>
      <w:r>
        <w:rPr>
          <w:rFonts w:ascii="Arial" w:hAnsi="Arial" w:cs="Arial"/>
          <w:bCs/>
          <w:color w:val="000000"/>
          <w:sz w:val="24"/>
          <w:szCs w:val="24"/>
        </w:rPr>
        <w:t>Decreto-Ordenanza-Acuerdo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) rige a partir de su publicación y deroga las disposiciones que le sean contrarias, en especial los Decretos, las Ordenanzas, Acuerdos, (citar los </w:t>
      </w:r>
      <w:r w:rsidR="009C7A38">
        <w:rPr>
          <w:rFonts w:ascii="Arial" w:hAnsi="Arial" w:cs="Arial"/>
          <w:bCs/>
          <w:color w:val="000000"/>
          <w:sz w:val="24"/>
          <w:szCs w:val="24"/>
        </w:rPr>
        <w:t>n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úmeros correspondientes con sus fechas de expedición).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PUBLÍQUESE Y CÚMPLASE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Dado en (Ciudad), a los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(Fdo.) PRESIDENTE DE LA REPÚBLICA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(Fdo.) EL MINISTRO (DIRECTOR DE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DEPARTAMENTO ADMINISTRATIVO) DE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...,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(Fdo.) EL DIRECTOR DEL DEPARTAMENTO ADMINISTRATIVO DE LA FUNCIÓN PÚBLICA,</w:t>
      </w:r>
    </w:p>
    <w:p w:rsidR="00FA37BE" w:rsidRPr="00057166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A37BE" w:rsidRDefault="00FA37BE" w:rsidP="00FA37B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9855D8" w:rsidRPr="00FA37BE" w:rsidRDefault="009855D8">
      <w:pPr>
        <w:rPr>
          <w:rFonts w:ascii="Arial" w:hAnsi="Arial" w:cs="Arial"/>
          <w:bCs/>
          <w:color w:val="000000"/>
          <w:sz w:val="24"/>
          <w:szCs w:val="24"/>
        </w:rPr>
      </w:pPr>
    </w:p>
    <w:sectPr w:rsidR="009855D8" w:rsidRPr="00FA37BE" w:rsidSect="00FA37BE">
      <w:headerReference w:type="defaul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186" w:rsidRDefault="008C1186" w:rsidP="00FA37BE">
      <w:pPr>
        <w:spacing w:after="0" w:line="240" w:lineRule="auto"/>
      </w:pPr>
      <w:r>
        <w:separator/>
      </w:r>
    </w:p>
  </w:endnote>
  <w:endnote w:type="continuationSeparator" w:id="0">
    <w:p w:rsidR="008C1186" w:rsidRDefault="008C1186" w:rsidP="00FA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186" w:rsidRDefault="008C1186" w:rsidP="00FA37BE">
      <w:pPr>
        <w:spacing w:after="0" w:line="240" w:lineRule="auto"/>
      </w:pPr>
      <w:r>
        <w:separator/>
      </w:r>
    </w:p>
  </w:footnote>
  <w:footnote w:type="continuationSeparator" w:id="0">
    <w:p w:rsidR="008C1186" w:rsidRDefault="008C1186" w:rsidP="00FA3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BE" w:rsidRDefault="00FA37BE" w:rsidP="00FA37BE">
    <w:pPr>
      <w:pStyle w:val="Encabezado"/>
      <w:jc w:val="both"/>
    </w:pPr>
    <w:r>
      <w:t xml:space="preserve">ORDENANZA-ACUERDO-DECRETO NÚMERO _______________ DE ____________    </w:t>
    </w:r>
    <w:r>
      <w:tab/>
    </w: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091423" w:rsidRPr="00091423">
      <w:rPr>
        <w:b/>
        <w:noProof/>
        <w:lang w:val="es-ES"/>
      </w:rPr>
      <w:t>4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091423" w:rsidRPr="00091423">
      <w:rPr>
        <w:b/>
        <w:noProof/>
        <w:lang w:val="es-ES"/>
      </w:rPr>
      <w:t>4</w:t>
    </w:r>
    <w:r>
      <w:rPr>
        <w:b/>
      </w:rPr>
      <w:fldChar w:fldCharType="end"/>
    </w:r>
  </w:p>
  <w:p w:rsidR="00FA37BE" w:rsidRPr="00FA37BE" w:rsidRDefault="00FA37BE" w:rsidP="00FA37BE">
    <w:pPr>
      <w:pStyle w:val="Encabezado"/>
      <w:rPr>
        <w:rFonts w:asciiTheme="majorHAnsi" w:hAnsiTheme="majorHAnsi"/>
      </w:rPr>
    </w:pPr>
  </w:p>
  <w:p w:rsidR="00FA37BE" w:rsidRPr="00FA37BE" w:rsidRDefault="00FA37BE" w:rsidP="00FA37BE">
    <w:pPr>
      <w:pStyle w:val="Encabezado"/>
      <w:jc w:val="center"/>
      <w:rPr>
        <w:rFonts w:asciiTheme="majorHAnsi" w:hAnsiTheme="majorHAnsi"/>
      </w:rPr>
    </w:pPr>
    <w:r w:rsidRPr="00FA37BE">
      <w:rPr>
        <w:rFonts w:asciiTheme="majorHAnsi" w:hAnsiTheme="majorHAnsi" w:cs="Arial"/>
        <w:color w:val="000000"/>
      </w:rPr>
      <w:t>“</w:t>
    </w:r>
    <w:r w:rsidRPr="00FA37BE">
      <w:rPr>
        <w:rFonts w:asciiTheme="majorHAnsi" w:hAnsiTheme="majorHAnsi" w:cs="Arial"/>
        <w:bCs/>
        <w:color w:val="000000"/>
      </w:rPr>
      <w:t xml:space="preserve">Por </w:t>
    </w:r>
    <w:r>
      <w:rPr>
        <w:rFonts w:asciiTheme="majorHAnsi" w:hAnsiTheme="majorHAnsi" w:cs="Arial"/>
        <w:bCs/>
        <w:color w:val="000000"/>
      </w:rPr>
      <w:t>la (</w:t>
    </w:r>
    <w:r w:rsidRPr="00FA37BE">
      <w:rPr>
        <w:rFonts w:asciiTheme="majorHAnsi" w:hAnsiTheme="majorHAnsi" w:cs="Arial"/>
        <w:bCs/>
        <w:color w:val="000000"/>
      </w:rPr>
      <w:t>el</w:t>
    </w:r>
    <w:r>
      <w:rPr>
        <w:rFonts w:asciiTheme="majorHAnsi" w:hAnsiTheme="majorHAnsi" w:cs="Arial"/>
        <w:bCs/>
        <w:color w:val="000000"/>
      </w:rPr>
      <w:t>)</w:t>
    </w:r>
    <w:r w:rsidRPr="00FA37BE">
      <w:rPr>
        <w:rFonts w:asciiTheme="majorHAnsi" w:hAnsiTheme="majorHAnsi" w:cs="Arial"/>
        <w:bCs/>
        <w:color w:val="000000"/>
      </w:rPr>
      <w:t xml:space="preserve"> cual se fusiona (citar la entidad o entidad(es) absorbida (s) en la (citar la entidad absorbente) y se modifica su estructura</w:t>
    </w:r>
    <w:r w:rsidRPr="00FA37BE">
      <w:rPr>
        <w:rFonts w:asciiTheme="majorHAnsi" w:hAnsiTheme="majorHAnsi" w:cs="Arial"/>
        <w:color w:val="000000"/>
      </w:rPr>
      <w:t>”.</w:t>
    </w:r>
  </w:p>
  <w:p w:rsidR="00FA37BE" w:rsidRDefault="00FA37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BE"/>
    <w:rsid w:val="00091423"/>
    <w:rsid w:val="00357A74"/>
    <w:rsid w:val="00440318"/>
    <w:rsid w:val="004C7FDA"/>
    <w:rsid w:val="00535E6D"/>
    <w:rsid w:val="008C1186"/>
    <w:rsid w:val="009855D8"/>
    <w:rsid w:val="009C7A38"/>
    <w:rsid w:val="00BB7437"/>
    <w:rsid w:val="00CD1BF0"/>
    <w:rsid w:val="00F223E4"/>
    <w:rsid w:val="00FA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BE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A37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A3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FA37B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A37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7B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A37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7BE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3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7B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BE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A37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A3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FA37B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A37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7B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A37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7BE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3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7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412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4125" TargetMode="External"/><Relationship Id="rId12" Type="http://schemas.openxmlformats.org/officeDocument/2006/relationships/hyperlink" Target="http://www.funcionpublica.gov.co/sisjur/home/Norma1.jsp?i=66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uncionpublica.gov.co/sisjur/home/Norma1.jsp?i=667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uncionpublica.gov.co/sisjur/home/Norma1.jsp?i=66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ncionpublica.gov.co/sisjur/home/Norma1.jsp?i=41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3</cp:revision>
  <dcterms:created xsi:type="dcterms:W3CDTF">2018-02-22T19:32:00Z</dcterms:created>
  <dcterms:modified xsi:type="dcterms:W3CDTF">2018-02-22T19:35:00Z</dcterms:modified>
</cp:coreProperties>
</file>